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6718"/>
        <w:gridCol w:w="2463"/>
        <w:gridCol w:w="1609"/>
      </w:tblGrid>
      <w:tr w:rsidR="00103494" w:rsidRPr="0072077B" w14:paraId="464D824F" w14:textId="77777777" w:rsidTr="00B44AEC">
        <w:trPr>
          <w:trHeight w:val="1070"/>
          <w:jc w:val="center"/>
        </w:trPr>
        <w:tc>
          <w:tcPr>
            <w:tcW w:w="10790" w:type="dxa"/>
            <w:gridSpan w:val="3"/>
          </w:tcPr>
          <w:p w14:paraId="6AADCB34" w14:textId="77777777" w:rsidR="00103494" w:rsidRPr="0072077B" w:rsidRDefault="00103494" w:rsidP="0067035A">
            <w:pPr>
              <w:jc w:val="center"/>
              <w:rPr>
                <w:rFonts w:ascii="Times New Roman" w:hAnsi="Times New Roman" w:cs="Times New Roman"/>
                <w:sz w:val="28"/>
                <w:szCs w:val="28"/>
              </w:rPr>
            </w:pPr>
          </w:p>
          <w:p w14:paraId="285985C0" w14:textId="77777777" w:rsidR="00103494" w:rsidRPr="00EB4D45" w:rsidRDefault="00BD6ABC" w:rsidP="00103494">
            <w:pPr>
              <w:jc w:val="center"/>
              <w:rPr>
                <w:rFonts w:ascii="Times New Roman" w:hAnsi="Times New Roman" w:cs="Times New Roman"/>
                <w:sz w:val="36"/>
                <w:szCs w:val="36"/>
              </w:rPr>
            </w:pPr>
            <w:r w:rsidRPr="00EB4D45">
              <w:rPr>
                <w:rFonts w:ascii="Times New Roman" w:hAnsi="Times New Roman" w:cs="Times New Roman"/>
                <w:sz w:val="36"/>
                <w:szCs w:val="36"/>
              </w:rPr>
              <w:t>County of Monterey</w:t>
            </w:r>
          </w:p>
          <w:p w14:paraId="0D6CD3E5" w14:textId="77777777" w:rsidR="00103494" w:rsidRPr="00EB4D45" w:rsidRDefault="00BD6ABC" w:rsidP="0067035A">
            <w:pPr>
              <w:jc w:val="center"/>
              <w:rPr>
                <w:rFonts w:ascii="Times New Roman" w:hAnsi="Times New Roman" w:cs="Times New Roman"/>
                <w:sz w:val="36"/>
                <w:szCs w:val="36"/>
              </w:rPr>
            </w:pPr>
            <w:r w:rsidRPr="00EB4D45">
              <w:rPr>
                <w:rFonts w:ascii="Times New Roman" w:hAnsi="Times New Roman" w:cs="Times New Roman"/>
                <w:sz w:val="36"/>
                <w:szCs w:val="36"/>
              </w:rPr>
              <w:t>Board Policy Manual</w:t>
            </w:r>
          </w:p>
          <w:p w14:paraId="2309B410" w14:textId="77777777" w:rsidR="00103494" w:rsidRPr="0072077B" w:rsidRDefault="00103494" w:rsidP="0067035A">
            <w:pPr>
              <w:jc w:val="center"/>
              <w:rPr>
                <w:rFonts w:ascii="Times New Roman" w:hAnsi="Times New Roman" w:cs="Times New Roman"/>
                <w:sz w:val="28"/>
                <w:szCs w:val="28"/>
              </w:rPr>
            </w:pPr>
          </w:p>
        </w:tc>
      </w:tr>
      <w:tr w:rsidR="00BD6ABC" w:rsidRPr="0072077B" w14:paraId="4510AED2" w14:textId="77777777" w:rsidTr="00B44AEC">
        <w:tblPrEx>
          <w:jc w:val="left"/>
        </w:tblPrEx>
        <w:trPr>
          <w:trHeight w:val="386"/>
        </w:trPr>
        <w:tc>
          <w:tcPr>
            <w:tcW w:w="6718" w:type="dxa"/>
            <w:vMerge w:val="restart"/>
          </w:tcPr>
          <w:p w14:paraId="268CE8E4" w14:textId="77777777" w:rsidR="00BD6ABC" w:rsidRPr="0072077B" w:rsidRDefault="00BD6ABC" w:rsidP="00BD6ABC">
            <w:pPr>
              <w:rPr>
                <w:rFonts w:ascii="Times New Roman" w:hAnsi="Times New Roman" w:cs="Times New Roman"/>
                <w:b/>
                <w:sz w:val="24"/>
                <w:szCs w:val="24"/>
              </w:rPr>
            </w:pPr>
            <w:r w:rsidRPr="0072077B">
              <w:rPr>
                <w:rFonts w:ascii="Times New Roman" w:hAnsi="Times New Roman" w:cs="Times New Roman"/>
                <w:b/>
                <w:sz w:val="24"/>
                <w:szCs w:val="24"/>
              </w:rPr>
              <w:t>Policy Name</w:t>
            </w:r>
          </w:p>
          <w:p w14:paraId="06CF44A7" w14:textId="590EA28B" w:rsidR="00BD6ABC" w:rsidRPr="0072077B" w:rsidRDefault="00E76636" w:rsidP="00BD6ABC">
            <w:pPr>
              <w:rPr>
                <w:rFonts w:ascii="Times New Roman" w:hAnsi="Times New Roman" w:cs="Times New Roman"/>
                <w:sz w:val="24"/>
                <w:szCs w:val="24"/>
              </w:rPr>
            </w:pPr>
            <w:bookmarkStart w:id="0" w:name="_Hlk129340583"/>
            <w:r w:rsidRPr="00E76636">
              <w:rPr>
                <w:rFonts w:ascii="Times New Roman" w:hAnsi="Times New Roman" w:cs="Times New Roman"/>
                <w:sz w:val="24"/>
                <w:szCs w:val="24"/>
              </w:rPr>
              <w:t>Levine Act Policy</w:t>
            </w:r>
            <w:bookmarkEnd w:id="0"/>
            <w:r w:rsidR="005D77AF">
              <w:rPr>
                <w:rFonts w:ascii="Times New Roman" w:hAnsi="Times New Roman" w:cs="Times New Roman"/>
                <w:sz w:val="24"/>
                <w:szCs w:val="24"/>
              </w:rPr>
              <w:t xml:space="preserve"> </w:t>
            </w:r>
            <w:bookmarkStart w:id="1" w:name="_Hlk129258965"/>
            <w:r w:rsidR="005D77AF">
              <w:rPr>
                <w:rFonts w:ascii="Times New Roman" w:hAnsi="Times New Roman" w:cs="Times New Roman"/>
                <w:sz w:val="24"/>
                <w:szCs w:val="24"/>
              </w:rPr>
              <w:t>(</w:t>
            </w:r>
            <w:r w:rsidR="005D77AF">
              <w:rPr>
                <w:rFonts w:ascii="Times New Roman" w:hAnsi="Times New Roman"/>
                <w:sz w:val="24"/>
                <w:szCs w:val="24"/>
              </w:rPr>
              <w:t>Government Code section 84308)</w:t>
            </w:r>
            <w:bookmarkEnd w:id="1"/>
          </w:p>
          <w:p w14:paraId="58897BA1" w14:textId="77777777" w:rsidR="00BD6ABC" w:rsidRPr="0072077B" w:rsidRDefault="00BD6ABC" w:rsidP="00BD6ABC">
            <w:pPr>
              <w:rPr>
                <w:rFonts w:ascii="Times New Roman" w:hAnsi="Times New Roman" w:cs="Times New Roman"/>
                <w:sz w:val="24"/>
                <w:szCs w:val="24"/>
              </w:rPr>
            </w:pPr>
          </w:p>
        </w:tc>
        <w:tc>
          <w:tcPr>
            <w:tcW w:w="2463" w:type="dxa"/>
          </w:tcPr>
          <w:p w14:paraId="2D58BBD6" w14:textId="77777777" w:rsidR="00BD6ABC" w:rsidRPr="0072077B" w:rsidRDefault="00BD6ABC" w:rsidP="00BD6ABC">
            <w:pPr>
              <w:rPr>
                <w:rFonts w:ascii="Times New Roman" w:hAnsi="Times New Roman" w:cs="Times New Roman"/>
                <w:b/>
                <w:sz w:val="24"/>
                <w:szCs w:val="24"/>
              </w:rPr>
            </w:pPr>
            <w:r w:rsidRPr="0072077B">
              <w:rPr>
                <w:rFonts w:ascii="Times New Roman" w:hAnsi="Times New Roman" w:cs="Times New Roman"/>
                <w:b/>
                <w:sz w:val="24"/>
                <w:szCs w:val="24"/>
              </w:rPr>
              <w:t>Policy Number</w:t>
            </w:r>
          </w:p>
        </w:tc>
        <w:tc>
          <w:tcPr>
            <w:tcW w:w="1609" w:type="dxa"/>
          </w:tcPr>
          <w:p w14:paraId="402ACD3F" w14:textId="77777777" w:rsidR="00BD6ABC" w:rsidRPr="0072077B" w:rsidRDefault="00BD6ABC" w:rsidP="00BD6ABC">
            <w:pPr>
              <w:rPr>
                <w:rFonts w:ascii="Times New Roman" w:hAnsi="Times New Roman" w:cs="Times New Roman"/>
                <w:b/>
                <w:sz w:val="24"/>
                <w:szCs w:val="24"/>
              </w:rPr>
            </w:pPr>
            <w:r w:rsidRPr="0072077B">
              <w:rPr>
                <w:rFonts w:ascii="Times New Roman" w:hAnsi="Times New Roman" w:cs="Times New Roman"/>
                <w:b/>
                <w:sz w:val="24"/>
                <w:szCs w:val="24"/>
              </w:rPr>
              <w:t>Page</w:t>
            </w:r>
          </w:p>
        </w:tc>
      </w:tr>
      <w:tr w:rsidR="00BD6ABC" w:rsidRPr="0072077B" w14:paraId="4CB937AD" w14:textId="77777777" w:rsidTr="00B44AEC">
        <w:tblPrEx>
          <w:jc w:val="left"/>
        </w:tblPrEx>
        <w:tc>
          <w:tcPr>
            <w:tcW w:w="6718" w:type="dxa"/>
            <w:vMerge/>
          </w:tcPr>
          <w:p w14:paraId="2C0F8C53" w14:textId="77777777" w:rsidR="00BD6ABC" w:rsidRPr="0072077B" w:rsidRDefault="00BD6ABC" w:rsidP="00BD6ABC">
            <w:pPr>
              <w:rPr>
                <w:rFonts w:ascii="Times New Roman" w:hAnsi="Times New Roman" w:cs="Times New Roman"/>
                <w:sz w:val="24"/>
                <w:szCs w:val="24"/>
              </w:rPr>
            </w:pPr>
          </w:p>
        </w:tc>
        <w:tc>
          <w:tcPr>
            <w:tcW w:w="2463" w:type="dxa"/>
          </w:tcPr>
          <w:p w14:paraId="6B87246A" w14:textId="39175CD4" w:rsidR="00BD6ABC" w:rsidRPr="0072077B" w:rsidRDefault="003467DC" w:rsidP="00585699">
            <w:pPr>
              <w:jc w:val="center"/>
              <w:rPr>
                <w:rFonts w:ascii="Times New Roman" w:hAnsi="Times New Roman" w:cs="Times New Roman"/>
                <w:sz w:val="24"/>
                <w:szCs w:val="24"/>
              </w:rPr>
            </w:pPr>
            <w:r>
              <w:rPr>
                <w:rFonts w:ascii="Times New Roman" w:hAnsi="Times New Roman" w:cs="Times New Roman"/>
                <w:sz w:val="24"/>
                <w:szCs w:val="24"/>
              </w:rPr>
              <w:t>G-125</w:t>
            </w:r>
          </w:p>
        </w:tc>
        <w:tc>
          <w:tcPr>
            <w:tcW w:w="1609" w:type="dxa"/>
          </w:tcPr>
          <w:p w14:paraId="3A8CF5A9" w14:textId="07B24FD4" w:rsidR="00BD6ABC" w:rsidRPr="0072077B" w:rsidRDefault="0072077B" w:rsidP="00BD6ABC">
            <w:pPr>
              <w:rPr>
                <w:rFonts w:ascii="Times New Roman" w:hAnsi="Times New Roman" w:cs="Times New Roman"/>
                <w:sz w:val="24"/>
                <w:szCs w:val="24"/>
              </w:rPr>
            </w:pPr>
            <w:r>
              <w:rPr>
                <w:rFonts w:ascii="Times New Roman" w:hAnsi="Times New Roman" w:cs="Times New Roman"/>
                <w:sz w:val="24"/>
                <w:szCs w:val="24"/>
              </w:rPr>
              <w:t xml:space="preserve">    </w:t>
            </w:r>
            <w:r w:rsidR="00636D82">
              <w:rPr>
                <w:rFonts w:ascii="Times New Roman" w:hAnsi="Times New Roman" w:cs="Times New Roman"/>
                <w:sz w:val="24"/>
                <w:szCs w:val="24"/>
              </w:rPr>
              <w:t xml:space="preserve">1 </w:t>
            </w:r>
            <w:r w:rsidR="00B77874" w:rsidRPr="0072077B">
              <w:rPr>
                <w:rFonts w:ascii="Times New Roman" w:hAnsi="Times New Roman" w:cs="Times New Roman"/>
                <w:sz w:val="24"/>
                <w:szCs w:val="24"/>
              </w:rPr>
              <w:t>of</w:t>
            </w:r>
            <w:r w:rsidR="00636D82">
              <w:rPr>
                <w:rFonts w:ascii="Times New Roman" w:hAnsi="Times New Roman" w:cs="Times New Roman"/>
                <w:sz w:val="24"/>
                <w:szCs w:val="24"/>
              </w:rPr>
              <w:t xml:space="preserve"> </w:t>
            </w:r>
            <w:r w:rsidR="00ED4ADD">
              <w:rPr>
                <w:rFonts w:ascii="Times New Roman" w:hAnsi="Times New Roman" w:cs="Times New Roman"/>
                <w:sz w:val="24"/>
                <w:szCs w:val="24"/>
              </w:rPr>
              <w:t>3</w:t>
            </w:r>
          </w:p>
        </w:tc>
      </w:tr>
      <w:tr w:rsidR="00BD6ABC" w:rsidRPr="0072077B" w14:paraId="0DCA120D" w14:textId="77777777" w:rsidTr="00B44AEC">
        <w:tblPrEx>
          <w:jc w:val="left"/>
        </w:tblPrEx>
        <w:tc>
          <w:tcPr>
            <w:tcW w:w="10790" w:type="dxa"/>
            <w:gridSpan w:val="3"/>
          </w:tcPr>
          <w:p w14:paraId="7899B52C" w14:textId="77777777" w:rsidR="00BD6ABC" w:rsidRPr="0072077B" w:rsidRDefault="00BD6ABC" w:rsidP="00BD6ABC">
            <w:pPr>
              <w:rPr>
                <w:rFonts w:ascii="Times New Roman" w:hAnsi="Times New Roman" w:cs="Times New Roman"/>
                <w:b/>
                <w:sz w:val="24"/>
                <w:szCs w:val="24"/>
              </w:rPr>
            </w:pPr>
            <w:r w:rsidRPr="0072077B">
              <w:rPr>
                <w:rFonts w:ascii="Times New Roman" w:hAnsi="Times New Roman" w:cs="Times New Roman"/>
                <w:b/>
                <w:sz w:val="24"/>
                <w:szCs w:val="24"/>
              </w:rPr>
              <w:t>Policy Category</w:t>
            </w:r>
          </w:p>
          <w:p w14:paraId="3BC84435" w14:textId="40C9428E" w:rsidR="00BD6ABC" w:rsidRPr="0072077B" w:rsidRDefault="00D36AA1" w:rsidP="00BD6ABC">
            <w:pPr>
              <w:rPr>
                <w:rFonts w:ascii="Times New Roman" w:hAnsi="Times New Roman" w:cs="Times New Roman"/>
                <w:sz w:val="24"/>
                <w:szCs w:val="24"/>
              </w:rPr>
            </w:pPr>
            <w:r>
              <w:rPr>
                <w:rFonts w:ascii="Times New Roman" w:hAnsi="Times New Roman" w:cs="Times New Roman"/>
                <w:sz w:val="24"/>
                <w:szCs w:val="24"/>
              </w:rPr>
              <w:t xml:space="preserve">Government and Administration </w:t>
            </w:r>
          </w:p>
          <w:p w14:paraId="0CED7C66" w14:textId="77777777" w:rsidR="00BD6ABC" w:rsidRPr="0072077B" w:rsidRDefault="00BD6ABC" w:rsidP="00BD6ABC">
            <w:pPr>
              <w:rPr>
                <w:rFonts w:ascii="Times New Roman" w:hAnsi="Times New Roman" w:cs="Times New Roman"/>
                <w:sz w:val="24"/>
                <w:szCs w:val="24"/>
              </w:rPr>
            </w:pPr>
          </w:p>
        </w:tc>
      </w:tr>
    </w:tbl>
    <w:p w14:paraId="1C232AA8" w14:textId="77777777" w:rsidR="00FF40FD" w:rsidRPr="0072077B" w:rsidRDefault="00FF40FD" w:rsidP="00BD6ABC">
      <w:pPr>
        <w:rPr>
          <w:rFonts w:ascii="Times New Roman" w:hAnsi="Times New Roman" w:cs="Times New Roman"/>
          <w:sz w:val="24"/>
          <w:szCs w:val="24"/>
        </w:rPr>
      </w:pPr>
    </w:p>
    <w:p w14:paraId="2B46F4F3" w14:textId="77777777" w:rsidR="0072077B" w:rsidRPr="0072077B" w:rsidRDefault="00BD6ABC" w:rsidP="00AD14C2">
      <w:pPr>
        <w:pStyle w:val="ListParagraph"/>
        <w:numPr>
          <w:ilvl w:val="0"/>
          <w:numId w:val="1"/>
        </w:numPr>
        <w:rPr>
          <w:rFonts w:ascii="Times New Roman" w:hAnsi="Times New Roman" w:cs="Times New Roman"/>
          <w:b/>
          <w:sz w:val="24"/>
          <w:szCs w:val="24"/>
        </w:rPr>
      </w:pPr>
      <w:r w:rsidRPr="0072077B">
        <w:rPr>
          <w:rFonts w:ascii="Times New Roman" w:hAnsi="Times New Roman" w:cs="Times New Roman"/>
          <w:b/>
          <w:sz w:val="24"/>
          <w:szCs w:val="24"/>
        </w:rPr>
        <w:t>Purpose</w:t>
      </w:r>
    </w:p>
    <w:p w14:paraId="790BB4B8" w14:textId="02A1C7D4" w:rsidR="00E76636" w:rsidRDefault="00E76636" w:rsidP="00AD14C2">
      <w:pPr>
        <w:pStyle w:val="ListParagraph"/>
        <w:numPr>
          <w:ilvl w:val="1"/>
          <w:numId w:val="1"/>
        </w:numPr>
        <w:rPr>
          <w:rFonts w:ascii="Times New Roman" w:hAnsi="Times New Roman" w:cs="Times New Roman"/>
          <w:bCs/>
          <w:sz w:val="24"/>
          <w:szCs w:val="24"/>
        </w:rPr>
      </w:pPr>
      <w:r w:rsidRPr="00E76636">
        <w:rPr>
          <w:rFonts w:ascii="Times New Roman" w:hAnsi="Times New Roman" w:cs="Times New Roman"/>
          <w:bCs/>
          <w:sz w:val="24"/>
          <w:szCs w:val="24"/>
        </w:rPr>
        <w:t>To</w:t>
      </w:r>
      <w:r w:rsidR="00F12194">
        <w:rPr>
          <w:rFonts w:ascii="Times New Roman" w:hAnsi="Times New Roman" w:cs="Times New Roman"/>
          <w:bCs/>
          <w:sz w:val="24"/>
          <w:szCs w:val="24"/>
        </w:rPr>
        <w:t xml:space="preserve"> provide guidance</w:t>
      </w:r>
      <w:r w:rsidRPr="00E76636">
        <w:rPr>
          <w:rFonts w:ascii="Times New Roman" w:hAnsi="Times New Roman" w:cs="Times New Roman"/>
          <w:bCs/>
          <w:sz w:val="24"/>
          <w:szCs w:val="24"/>
        </w:rPr>
        <w:t xml:space="preserve"> </w:t>
      </w:r>
      <w:r w:rsidR="00F12194">
        <w:rPr>
          <w:rFonts w:ascii="Times New Roman" w:hAnsi="Times New Roman" w:cs="Times New Roman"/>
          <w:bCs/>
          <w:sz w:val="24"/>
          <w:szCs w:val="24"/>
        </w:rPr>
        <w:t xml:space="preserve">on </w:t>
      </w:r>
      <w:r w:rsidRPr="00E76636">
        <w:rPr>
          <w:rFonts w:ascii="Times New Roman" w:hAnsi="Times New Roman" w:cs="Times New Roman"/>
          <w:bCs/>
          <w:sz w:val="24"/>
          <w:szCs w:val="24"/>
        </w:rPr>
        <w:t xml:space="preserve">the County’s compliance with </w:t>
      </w:r>
      <w:r w:rsidR="005D77AF">
        <w:rPr>
          <w:rFonts w:ascii="Times New Roman" w:hAnsi="Times New Roman"/>
          <w:sz w:val="24"/>
          <w:szCs w:val="24"/>
        </w:rPr>
        <w:t xml:space="preserve">Government Code section 84308, </w:t>
      </w:r>
      <w:r w:rsidR="005D77AF" w:rsidRPr="00955CDF">
        <w:rPr>
          <w:rFonts w:ascii="Times New Roman" w:hAnsi="Times New Roman"/>
          <w:sz w:val="24"/>
          <w:szCs w:val="24"/>
        </w:rPr>
        <w:t>a provision of the Political Reform Act generally known as the “Levine Act</w:t>
      </w:r>
      <w:r w:rsidR="00E5377F">
        <w:rPr>
          <w:rFonts w:ascii="Times New Roman" w:hAnsi="Times New Roman"/>
          <w:sz w:val="24"/>
          <w:szCs w:val="24"/>
        </w:rPr>
        <w:t>,</w:t>
      </w:r>
      <w:r w:rsidR="005D77AF" w:rsidRPr="00955CDF">
        <w:rPr>
          <w:rFonts w:ascii="Times New Roman" w:hAnsi="Times New Roman"/>
          <w:sz w:val="24"/>
          <w:szCs w:val="24"/>
        </w:rPr>
        <w:t>”</w:t>
      </w:r>
      <w:r w:rsidR="005D77AF">
        <w:rPr>
          <w:rFonts w:ascii="Times New Roman" w:hAnsi="Times New Roman"/>
          <w:sz w:val="24"/>
          <w:szCs w:val="24"/>
        </w:rPr>
        <w:t xml:space="preserve"> </w:t>
      </w:r>
      <w:r w:rsidRPr="00E76636">
        <w:rPr>
          <w:rFonts w:ascii="Times New Roman" w:hAnsi="Times New Roman" w:cs="Times New Roman"/>
          <w:bCs/>
          <w:sz w:val="24"/>
          <w:szCs w:val="24"/>
        </w:rPr>
        <w:t>and</w:t>
      </w:r>
      <w:r w:rsidR="00E5377F">
        <w:rPr>
          <w:rFonts w:ascii="Times New Roman" w:hAnsi="Times New Roman" w:cs="Times New Roman"/>
          <w:bCs/>
          <w:sz w:val="24"/>
          <w:szCs w:val="24"/>
        </w:rPr>
        <w:t xml:space="preserve"> to</w:t>
      </w:r>
      <w:r w:rsidRPr="00E76636">
        <w:rPr>
          <w:rFonts w:ascii="Times New Roman" w:hAnsi="Times New Roman" w:cs="Times New Roman"/>
          <w:bCs/>
          <w:sz w:val="24"/>
          <w:szCs w:val="24"/>
        </w:rPr>
        <w:t xml:space="preserve"> facilitate the efforts of County officers, parties, participants, and agents in their efforts to comply with the </w:t>
      </w:r>
      <w:r w:rsidR="005D77AF">
        <w:rPr>
          <w:rFonts w:ascii="Times New Roman" w:hAnsi="Times New Roman" w:cs="Times New Roman"/>
          <w:bCs/>
          <w:sz w:val="24"/>
          <w:szCs w:val="24"/>
        </w:rPr>
        <w:t>Levine A</w:t>
      </w:r>
      <w:r w:rsidRPr="00E76636">
        <w:rPr>
          <w:rFonts w:ascii="Times New Roman" w:hAnsi="Times New Roman" w:cs="Times New Roman"/>
          <w:bCs/>
          <w:sz w:val="24"/>
          <w:szCs w:val="24"/>
        </w:rPr>
        <w:t>ct.</w:t>
      </w:r>
    </w:p>
    <w:p w14:paraId="293D8697" w14:textId="028B4488" w:rsidR="00F1532D" w:rsidRDefault="00F1532D" w:rsidP="00AD14C2">
      <w:pPr>
        <w:pStyle w:val="ListParagraph"/>
        <w:ind w:left="1080"/>
        <w:rPr>
          <w:rFonts w:ascii="Times New Roman" w:hAnsi="Times New Roman" w:cs="Times New Roman"/>
          <w:bCs/>
          <w:sz w:val="24"/>
          <w:szCs w:val="24"/>
        </w:rPr>
      </w:pPr>
    </w:p>
    <w:p w14:paraId="5A92B5D1" w14:textId="77777777" w:rsidR="00F1532D" w:rsidRDefault="00F1532D" w:rsidP="00AD14C2">
      <w:pPr>
        <w:pStyle w:val="ListParagraph"/>
        <w:numPr>
          <w:ilvl w:val="0"/>
          <w:numId w:val="1"/>
        </w:numPr>
        <w:rPr>
          <w:rFonts w:ascii="Times New Roman" w:hAnsi="Times New Roman" w:cs="Times New Roman"/>
          <w:b/>
          <w:sz w:val="24"/>
          <w:szCs w:val="24"/>
        </w:rPr>
      </w:pPr>
      <w:r w:rsidRPr="00F1532D">
        <w:rPr>
          <w:rFonts w:ascii="Times New Roman" w:hAnsi="Times New Roman" w:cs="Times New Roman"/>
          <w:b/>
          <w:sz w:val="24"/>
          <w:szCs w:val="24"/>
        </w:rPr>
        <w:t>Definitions</w:t>
      </w:r>
    </w:p>
    <w:p w14:paraId="359E2C44" w14:textId="1A3C76A0" w:rsidR="00F1532D" w:rsidRPr="00F1532D" w:rsidRDefault="00F1532D" w:rsidP="00AD14C2">
      <w:pPr>
        <w:pStyle w:val="ListParagraph"/>
        <w:numPr>
          <w:ilvl w:val="3"/>
          <w:numId w:val="24"/>
        </w:numPr>
        <w:rPr>
          <w:rFonts w:ascii="Times New Roman" w:hAnsi="Times New Roman" w:cs="Times New Roman"/>
          <w:b/>
          <w:sz w:val="24"/>
          <w:szCs w:val="24"/>
        </w:rPr>
      </w:pPr>
      <w:r>
        <w:rPr>
          <w:rFonts w:ascii="Times New Roman" w:hAnsi="Times New Roman" w:cs="Times New Roman"/>
          <w:bCs/>
          <w:sz w:val="24"/>
          <w:szCs w:val="24"/>
        </w:rPr>
        <w:t>“</w:t>
      </w:r>
      <w:r w:rsidRPr="00F1532D">
        <w:rPr>
          <w:rFonts w:ascii="Times New Roman" w:hAnsi="Times New Roman" w:cs="Times New Roman"/>
          <w:bCs/>
          <w:sz w:val="24"/>
          <w:szCs w:val="24"/>
        </w:rPr>
        <w:t>Board” means the County</w:t>
      </w:r>
      <w:r w:rsidR="00270D96">
        <w:rPr>
          <w:rFonts w:ascii="Times New Roman" w:hAnsi="Times New Roman" w:cs="Times New Roman"/>
          <w:bCs/>
          <w:sz w:val="24"/>
          <w:szCs w:val="24"/>
        </w:rPr>
        <w:t xml:space="preserve"> of Monterey</w:t>
      </w:r>
      <w:r w:rsidRPr="00F1532D">
        <w:rPr>
          <w:rFonts w:ascii="Times New Roman" w:hAnsi="Times New Roman" w:cs="Times New Roman"/>
          <w:bCs/>
          <w:sz w:val="24"/>
          <w:szCs w:val="24"/>
        </w:rPr>
        <w:t xml:space="preserve"> Board of Supervisors.</w:t>
      </w:r>
    </w:p>
    <w:p w14:paraId="39F57095" w14:textId="2DD8D9C5" w:rsidR="00F1532D" w:rsidRPr="00F1532D" w:rsidRDefault="00F1532D" w:rsidP="00AD14C2">
      <w:pPr>
        <w:pStyle w:val="ListParagraph"/>
        <w:numPr>
          <w:ilvl w:val="3"/>
          <w:numId w:val="24"/>
        </w:numPr>
        <w:rPr>
          <w:rFonts w:ascii="Times New Roman" w:hAnsi="Times New Roman" w:cs="Times New Roman"/>
          <w:b/>
          <w:sz w:val="24"/>
          <w:szCs w:val="24"/>
        </w:rPr>
      </w:pPr>
      <w:r w:rsidRPr="00F1532D">
        <w:rPr>
          <w:rFonts w:ascii="Times New Roman" w:hAnsi="Times New Roman" w:cs="Times New Roman"/>
          <w:bCs/>
          <w:sz w:val="24"/>
          <w:szCs w:val="24"/>
        </w:rPr>
        <w:t xml:space="preserve">“Competitively bid” </w:t>
      </w:r>
      <w:r w:rsidR="00E5377F">
        <w:rPr>
          <w:rFonts w:ascii="Times New Roman" w:hAnsi="Times New Roman" w:cs="Times New Roman"/>
          <w:bCs/>
          <w:sz w:val="24"/>
          <w:szCs w:val="24"/>
        </w:rPr>
        <w:t xml:space="preserve">means </w:t>
      </w:r>
      <w:r w:rsidRPr="00F1532D">
        <w:rPr>
          <w:rFonts w:ascii="Times New Roman" w:hAnsi="Times New Roman" w:cs="Times New Roman"/>
          <w:bCs/>
          <w:sz w:val="24"/>
          <w:szCs w:val="24"/>
        </w:rPr>
        <w:t>where the County has little, if any, discretion in choosing the contractor and includes, for example, a solicitation in which bidders submit fixed amounts in their bids and the County is legally required to award the contract to the lowest responsive, responsible bidder.</w:t>
      </w:r>
    </w:p>
    <w:p w14:paraId="18E5F93B" w14:textId="77777777" w:rsidR="00F1532D" w:rsidRPr="00F1532D" w:rsidRDefault="00F1532D" w:rsidP="00AD14C2">
      <w:pPr>
        <w:pStyle w:val="ListParagraph"/>
        <w:numPr>
          <w:ilvl w:val="3"/>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“Contribution” includes contributions to County candidates, County officeholders, and/or their controlled committees in federal, state, or local elections. </w:t>
      </w:r>
    </w:p>
    <w:p w14:paraId="4997187C" w14:textId="59858879" w:rsidR="00F1532D" w:rsidRPr="00F1532D" w:rsidRDefault="00F1532D" w:rsidP="00AD14C2">
      <w:pPr>
        <w:pStyle w:val="ListParagraph"/>
        <w:numPr>
          <w:ilvl w:val="3"/>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“License, permit, or other entitlement for use” means all business, professional, trade, and land use licenses and permits and all other entitlements for use, including all entitlements for land use, all contracts (other than competitively bid, labor, or personal employment contracts), and all franchises. Amendments, extensions, and renewals of licenses, permits, or other entitlements for use are included within this definition. </w:t>
      </w:r>
    </w:p>
    <w:p w14:paraId="449334E6" w14:textId="652AE393" w:rsidR="00F1532D" w:rsidRPr="00F1532D" w:rsidRDefault="00F1532D" w:rsidP="00AD14C2">
      <w:pPr>
        <w:pStyle w:val="ListParagraph"/>
        <w:numPr>
          <w:ilvl w:val="3"/>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“Officer” means any elected or appointed officer of an agency, any alternate to an elected or appointed officer of an agency, and any candidate for elective office in an agency. </w:t>
      </w:r>
    </w:p>
    <w:p w14:paraId="292FBFB5" w14:textId="77777777" w:rsidR="00F1532D" w:rsidRDefault="00F1532D" w:rsidP="00AD14C2">
      <w:pPr>
        <w:pStyle w:val="ListParagraph"/>
        <w:numPr>
          <w:ilvl w:val="3"/>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“Participant” means any person who is not a party but who meets both of the following requirements: </w:t>
      </w:r>
    </w:p>
    <w:p w14:paraId="5E612BF4" w14:textId="1EEDF07D" w:rsidR="00F1532D" w:rsidRPr="00F1532D" w:rsidRDefault="00F1532D" w:rsidP="00AD14C2">
      <w:pPr>
        <w:pStyle w:val="ListParagraph"/>
        <w:numPr>
          <w:ilvl w:val="4"/>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The person actively supports or opposes a particular decision in a proceeding involving a license, permit, or other entitlement for use. A person actively supports or opposes a particular decision in a proceeding if that person lobbies in person the officers or employees of the County, testifies in person before the County, or otherwise acts to influence officers of the County; and, </w:t>
      </w:r>
    </w:p>
    <w:p w14:paraId="50E005A8" w14:textId="5A9603A1" w:rsidR="00F1532D" w:rsidRPr="00F1532D" w:rsidRDefault="00F1532D" w:rsidP="00AD14C2">
      <w:pPr>
        <w:pStyle w:val="ListParagraph"/>
        <w:numPr>
          <w:ilvl w:val="4"/>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The person has a financial interest in the decision as defined in the Political Reform Act (Government Code section 87100, </w:t>
      </w:r>
      <w:r w:rsidRPr="0030444F">
        <w:rPr>
          <w:rFonts w:ascii="Times New Roman" w:hAnsi="Times New Roman" w:cs="Times New Roman"/>
          <w:bCs/>
          <w:i/>
          <w:iCs/>
          <w:sz w:val="24"/>
          <w:szCs w:val="24"/>
        </w:rPr>
        <w:t>et seq</w:t>
      </w:r>
      <w:r w:rsidRPr="00F1532D">
        <w:rPr>
          <w:rFonts w:ascii="Times New Roman" w:hAnsi="Times New Roman" w:cs="Times New Roman"/>
          <w:bCs/>
          <w:sz w:val="24"/>
          <w:szCs w:val="24"/>
        </w:rPr>
        <w:t xml:space="preserve">.). </w:t>
      </w:r>
    </w:p>
    <w:p w14:paraId="43BDA1A0" w14:textId="40AFC653" w:rsidR="00F1532D" w:rsidRDefault="00F1532D" w:rsidP="00AD14C2">
      <w:pPr>
        <w:pStyle w:val="ListParagraph"/>
        <w:numPr>
          <w:ilvl w:val="3"/>
          <w:numId w:val="24"/>
        </w:numPr>
        <w:rPr>
          <w:rFonts w:ascii="Times New Roman" w:hAnsi="Times New Roman" w:cs="Times New Roman"/>
          <w:bCs/>
          <w:sz w:val="24"/>
          <w:szCs w:val="24"/>
        </w:rPr>
      </w:pPr>
      <w:r w:rsidRPr="00F1532D">
        <w:rPr>
          <w:rFonts w:ascii="Times New Roman" w:hAnsi="Times New Roman" w:cs="Times New Roman"/>
          <w:bCs/>
          <w:sz w:val="24"/>
          <w:szCs w:val="24"/>
        </w:rPr>
        <w:t xml:space="preserve">“Party” means any person who files an application for, or is the subject of, a proceeding involving a license, permit, or other entitlement for use. </w:t>
      </w:r>
    </w:p>
    <w:p w14:paraId="325841CF" w14:textId="1156B4E7" w:rsidR="0030444F" w:rsidRDefault="0030444F" w:rsidP="00AD14C2">
      <w:pPr>
        <w:pStyle w:val="ListParagraph"/>
        <w:numPr>
          <w:ilvl w:val="3"/>
          <w:numId w:val="24"/>
        </w:numPr>
        <w:rPr>
          <w:rFonts w:ascii="Times New Roman" w:hAnsi="Times New Roman" w:cs="Times New Roman"/>
          <w:bCs/>
          <w:sz w:val="24"/>
          <w:szCs w:val="24"/>
        </w:rPr>
      </w:pPr>
      <w:r>
        <w:rPr>
          <w:rFonts w:ascii="Times New Roman" w:hAnsi="Times New Roman" w:cs="Times New Roman"/>
          <w:bCs/>
          <w:sz w:val="24"/>
          <w:szCs w:val="24"/>
        </w:rPr>
        <w:lastRenderedPageBreak/>
        <w:t xml:space="preserve">“Pending proceeding” means </w:t>
      </w:r>
      <w:r w:rsidRPr="0030444F">
        <w:rPr>
          <w:rFonts w:ascii="Times New Roman" w:hAnsi="Times New Roman" w:cs="Times New Roman"/>
          <w:bCs/>
          <w:sz w:val="24"/>
          <w:szCs w:val="24"/>
        </w:rPr>
        <w:t>a proceeding</w:t>
      </w:r>
      <w:r>
        <w:rPr>
          <w:rFonts w:ascii="Times New Roman" w:hAnsi="Times New Roman" w:cs="Times New Roman"/>
          <w:bCs/>
          <w:sz w:val="24"/>
          <w:szCs w:val="24"/>
        </w:rPr>
        <w:t xml:space="preserve"> pending before an agency</w:t>
      </w:r>
      <w:r w:rsidRPr="0030444F">
        <w:rPr>
          <w:rFonts w:ascii="Times New Roman" w:hAnsi="Times New Roman" w:cs="Times New Roman"/>
          <w:bCs/>
          <w:sz w:val="24"/>
          <w:szCs w:val="24"/>
        </w:rPr>
        <w:t xml:space="preserve"> involving a license, permit or other entitlement for use</w:t>
      </w:r>
      <w:r>
        <w:rPr>
          <w:rFonts w:ascii="Times New Roman" w:hAnsi="Times New Roman" w:cs="Times New Roman"/>
          <w:bCs/>
          <w:sz w:val="24"/>
          <w:szCs w:val="24"/>
        </w:rPr>
        <w:t>:</w:t>
      </w:r>
    </w:p>
    <w:p w14:paraId="271F1A66" w14:textId="77777777" w:rsidR="0030444F" w:rsidRPr="0030444F" w:rsidRDefault="0030444F" w:rsidP="0030444F">
      <w:pPr>
        <w:pStyle w:val="ListParagraph"/>
        <w:tabs>
          <w:tab w:val="left" w:pos="-1152"/>
          <w:tab w:val="left" w:pos="-720"/>
          <w:tab w:val="left" w:pos="0"/>
          <w:tab w:val="left" w:pos="1440"/>
          <w:tab w:val="left" w:pos="4500"/>
          <w:tab w:val="left" w:pos="9360"/>
        </w:tabs>
        <w:autoSpaceDE w:val="0"/>
        <w:autoSpaceDN w:val="0"/>
        <w:adjustRightInd w:val="0"/>
        <w:ind w:left="1440" w:right="720"/>
        <w:jc w:val="both"/>
        <w:rPr>
          <w:rFonts w:ascii="Times New Roman" w:eastAsia="Times New Roman" w:hAnsi="Times New Roman"/>
          <w:sz w:val="24"/>
          <w:szCs w:val="24"/>
        </w:rPr>
      </w:pPr>
      <w:r w:rsidRPr="0030444F">
        <w:rPr>
          <w:rFonts w:ascii="Times New Roman" w:eastAsia="Times New Roman" w:hAnsi="Times New Roman"/>
          <w:sz w:val="24"/>
          <w:szCs w:val="24"/>
        </w:rPr>
        <w:t xml:space="preserve">(1) When the application has been filed, the proceeding has been commenced, or the issue has otherwise been submitted to the jurisdiction of an agency for its determination or other action; </w:t>
      </w:r>
    </w:p>
    <w:p w14:paraId="6F447EF0" w14:textId="137BB256" w:rsidR="0030444F" w:rsidRPr="0030444F" w:rsidRDefault="0030444F" w:rsidP="0030444F">
      <w:pPr>
        <w:pStyle w:val="ListParagraph"/>
        <w:tabs>
          <w:tab w:val="left" w:pos="-1152"/>
          <w:tab w:val="left" w:pos="-720"/>
          <w:tab w:val="left" w:pos="0"/>
          <w:tab w:val="left" w:pos="1440"/>
          <w:tab w:val="left" w:pos="4500"/>
          <w:tab w:val="left" w:pos="9360"/>
        </w:tabs>
        <w:autoSpaceDE w:val="0"/>
        <w:autoSpaceDN w:val="0"/>
        <w:adjustRightInd w:val="0"/>
        <w:ind w:left="1440" w:right="720"/>
        <w:jc w:val="both"/>
        <w:rPr>
          <w:rFonts w:ascii="Times New Roman" w:eastAsia="Times New Roman" w:hAnsi="Times New Roman"/>
          <w:sz w:val="24"/>
          <w:szCs w:val="24"/>
        </w:rPr>
      </w:pPr>
      <w:r w:rsidRPr="0030444F">
        <w:rPr>
          <w:rFonts w:ascii="Times New Roman" w:eastAsia="Times New Roman" w:hAnsi="Times New Roman"/>
          <w:sz w:val="24"/>
          <w:szCs w:val="24"/>
        </w:rPr>
        <w:t>(2) It is the type of proceeding where the officers of the agency are required by law to make a decision, or the matter has been otherwise submitted to the officers of the agency for their decision; and</w:t>
      </w:r>
      <w:r w:rsidR="00E5377F">
        <w:rPr>
          <w:rFonts w:ascii="Times New Roman" w:eastAsia="Times New Roman" w:hAnsi="Times New Roman"/>
          <w:sz w:val="24"/>
          <w:szCs w:val="24"/>
        </w:rPr>
        <w:t>,</w:t>
      </w:r>
    </w:p>
    <w:p w14:paraId="04680DFE" w14:textId="3654086A" w:rsidR="00663A85" w:rsidRDefault="0030444F" w:rsidP="0030444F">
      <w:pPr>
        <w:pStyle w:val="ListParagraph"/>
        <w:tabs>
          <w:tab w:val="left" w:pos="-1152"/>
          <w:tab w:val="left" w:pos="-720"/>
          <w:tab w:val="left" w:pos="0"/>
          <w:tab w:val="left" w:pos="1440"/>
          <w:tab w:val="left" w:pos="4500"/>
          <w:tab w:val="left" w:pos="9360"/>
        </w:tabs>
        <w:autoSpaceDE w:val="0"/>
        <w:autoSpaceDN w:val="0"/>
        <w:adjustRightInd w:val="0"/>
        <w:ind w:left="1440" w:right="720"/>
        <w:jc w:val="both"/>
        <w:rPr>
          <w:rFonts w:ascii="Times New Roman" w:eastAsia="Times New Roman" w:hAnsi="Times New Roman"/>
          <w:sz w:val="24"/>
          <w:szCs w:val="24"/>
        </w:rPr>
      </w:pPr>
      <w:r w:rsidRPr="0030444F">
        <w:rPr>
          <w:rFonts w:ascii="Times New Roman" w:eastAsia="Times New Roman" w:hAnsi="Times New Roman"/>
          <w:sz w:val="24"/>
          <w:szCs w:val="24"/>
        </w:rPr>
        <w:t xml:space="preserve">(3) The decision of the officer or officers with respect to the proceeding will not be purely ministerial. </w:t>
      </w:r>
    </w:p>
    <w:p w14:paraId="50D3A2C6" w14:textId="77777777" w:rsidR="0030444F" w:rsidRPr="0030444F" w:rsidRDefault="0030444F" w:rsidP="0030444F">
      <w:pPr>
        <w:pStyle w:val="ListParagraph"/>
        <w:tabs>
          <w:tab w:val="left" w:pos="-1152"/>
          <w:tab w:val="left" w:pos="-720"/>
          <w:tab w:val="left" w:pos="0"/>
          <w:tab w:val="left" w:pos="1440"/>
          <w:tab w:val="left" w:pos="4500"/>
          <w:tab w:val="left" w:pos="9360"/>
        </w:tabs>
        <w:autoSpaceDE w:val="0"/>
        <w:autoSpaceDN w:val="0"/>
        <w:adjustRightInd w:val="0"/>
        <w:ind w:left="1440" w:right="720"/>
        <w:jc w:val="both"/>
        <w:rPr>
          <w:rFonts w:ascii="Times New Roman" w:eastAsia="Times New Roman" w:hAnsi="Times New Roman"/>
          <w:sz w:val="24"/>
          <w:szCs w:val="24"/>
        </w:rPr>
      </w:pPr>
    </w:p>
    <w:p w14:paraId="0D3ECE4D" w14:textId="77777777" w:rsidR="0072077B" w:rsidRPr="0072077B" w:rsidRDefault="00BD6ABC" w:rsidP="00AD14C2">
      <w:pPr>
        <w:pStyle w:val="ListParagraph"/>
        <w:numPr>
          <w:ilvl w:val="0"/>
          <w:numId w:val="1"/>
        </w:numPr>
        <w:rPr>
          <w:rFonts w:ascii="Times New Roman" w:hAnsi="Times New Roman" w:cs="Times New Roman"/>
          <w:b/>
          <w:sz w:val="24"/>
          <w:szCs w:val="24"/>
        </w:rPr>
      </w:pPr>
      <w:r w:rsidRPr="0072077B">
        <w:rPr>
          <w:rFonts w:ascii="Times New Roman" w:hAnsi="Times New Roman" w:cs="Times New Roman"/>
          <w:b/>
          <w:sz w:val="24"/>
          <w:szCs w:val="24"/>
        </w:rPr>
        <w:t>Background</w:t>
      </w:r>
    </w:p>
    <w:p w14:paraId="10A06BEB" w14:textId="0B754811" w:rsidR="00C24C59" w:rsidRPr="00C24C59" w:rsidRDefault="00C24C59" w:rsidP="00AD14C2">
      <w:pPr>
        <w:pStyle w:val="ListParagraph"/>
        <w:numPr>
          <w:ilvl w:val="1"/>
          <w:numId w:val="1"/>
        </w:numPr>
        <w:rPr>
          <w:rFonts w:ascii="Times New Roman" w:hAnsi="Times New Roman" w:cs="Times New Roman"/>
          <w:bCs/>
          <w:sz w:val="24"/>
          <w:szCs w:val="24"/>
        </w:rPr>
      </w:pPr>
      <w:r w:rsidRPr="00C24C59">
        <w:rPr>
          <w:rFonts w:ascii="Times New Roman" w:hAnsi="Times New Roman" w:cs="Times New Roman"/>
          <w:bCs/>
          <w:sz w:val="24"/>
          <w:szCs w:val="24"/>
        </w:rPr>
        <w:t xml:space="preserve">In 1982, the California Legislature passed the Levine Act, adding Government Code </w:t>
      </w:r>
      <w:r w:rsidR="005E2DAD">
        <w:rPr>
          <w:rFonts w:ascii="Times New Roman" w:hAnsi="Times New Roman" w:cs="Times New Roman"/>
          <w:bCs/>
          <w:sz w:val="24"/>
          <w:szCs w:val="24"/>
        </w:rPr>
        <w:t>s</w:t>
      </w:r>
      <w:r w:rsidRPr="00C24C59">
        <w:rPr>
          <w:rFonts w:ascii="Times New Roman" w:hAnsi="Times New Roman" w:cs="Times New Roman"/>
          <w:bCs/>
          <w:sz w:val="24"/>
          <w:szCs w:val="24"/>
        </w:rPr>
        <w:t xml:space="preserve">ection 84308 to the Political Reform Act (“Section 84308”), following reports in the Los Angeles Times that several </w:t>
      </w:r>
      <w:r w:rsidR="00EA57D5">
        <w:rPr>
          <w:rFonts w:ascii="Times New Roman" w:hAnsi="Times New Roman" w:cs="Times New Roman"/>
          <w:bCs/>
          <w:sz w:val="24"/>
          <w:szCs w:val="24"/>
        </w:rPr>
        <w:t xml:space="preserve">California </w:t>
      </w:r>
      <w:r w:rsidRPr="00C24C59">
        <w:rPr>
          <w:rFonts w:ascii="Times New Roman" w:hAnsi="Times New Roman" w:cs="Times New Roman"/>
          <w:bCs/>
          <w:sz w:val="24"/>
          <w:szCs w:val="24"/>
        </w:rPr>
        <w:t>Coastal Commissioners had solicited and received large campaign contributions from persons who had applications pending before the</w:t>
      </w:r>
      <w:r w:rsidR="00E5377F">
        <w:rPr>
          <w:rFonts w:ascii="Times New Roman" w:hAnsi="Times New Roman" w:cs="Times New Roman"/>
          <w:bCs/>
          <w:sz w:val="24"/>
          <w:szCs w:val="24"/>
        </w:rPr>
        <w:t xml:space="preserve"> Commission</w:t>
      </w:r>
      <w:r w:rsidRPr="00C24C59">
        <w:rPr>
          <w:rFonts w:ascii="Times New Roman" w:hAnsi="Times New Roman" w:cs="Times New Roman"/>
          <w:bCs/>
          <w:sz w:val="24"/>
          <w:szCs w:val="24"/>
        </w:rPr>
        <w:t xml:space="preserve">. </w:t>
      </w:r>
      <w:r w:rsidR="00EA57D5">
        <w:rPr>
          <w:rFonts w:ascii="Times New Roman" w:hAnsi="Times New Roman" w:cs="Times New Roman"/>
          <w:bCs/>
          <w:sz w:val="24"/>
          <w:szCs w:val="24"/>
        </w:rPr>
        <w:t xml:space="preserve"> </w:t>
      </w:r>
      <w:r w:rsidRPr="00C24C59">
        <w:rPr>
          <w:rFonts w:ascii="Times New Roman" w:hAnsi="Times New Roman" w:cs="Times New Roman"/>
          <w:bCs/>
          <w:sz w:val="24"/>
          <w:szCs w:val="24"/>
        </w:rPr>
        <w:t>One of the purposes of the Levine Act was to assure that appointed members of legislative bodies were not influenced by the receipt of campaign contributions from the individuals and parties appearing before them, and that officials were not able to use their positions of authority to unduly influence applicants to make contributions to their campaigns.</w:t>
      </w:r>
    </w:p>
    <w:p w14:paraId="71C16390" w14:textId="2D5A6ED9" w:rsidR="00663A85" w:rsidRPr="00777EC4" w:rsidRDefault="00663A85" w:rsidP="00AD14C2">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On September 29, 2022, Governor Newsom signed Senate Bill (“SB”) 1439 into law, making a number of changes to the Levine Act. </w:t>
      </w:r>
      <w:r w:rsidR="00A6640B">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663A85">
        <w:rPr>
          <w:rFonts w:ascii="Times New Roman" w:hAnsi="Times New Roman" w:cs="Times New Roman"/>
          <w:bCs/>
          <w:sz w:val="24"/>
          <w:szCs w:val="24"/>
        </w:rPr>
        <w:t>Levine Act previously only applied to local governing boards composed of elected officials</w:t>
      </w:r>
      <w:r w:rsidR="00E5377F">
        <w:rPr>
          <w:rFonts w:ascii="Times New Roman" w:hAnsi="Times New Roman" w:cs="Times New Roman"/>
          <w:bCs/>
          <w:sz w:val="24"/>
          <w:szCs w:val="24"/>
        </w:rPr>
        <w:t xml:space="preserve"> appointed to governing boards other than their organic board</w:t>
      </w:r>
      <w:r w:rsidRPr="00663A85">
        <w:rPr>
          <w:rFonts w:ascii="Times New Roman" w:hAnsi="Times New Roman" w:cs="Times New Roman"/>
          <w:bCs/>
          <w:sz w:val="24"/>
          <w:szCs w:val="24"/>
        </w:rPr>
        <w:t>, such as</w:t>
      </w:r>
      <w:r w:rsidR="00E5377F">
        <w:rPr>
          <w:rFonts w:ascii="Times New Roman" w:hAnsi="Times New Roman" w:cs="Times New Roman"/>
          <w:bCs/>
          <w:sz w:val="24"/>
          <w:szCs w:val="24"/>
        </w:rPr>
        <w:t xml:space="preserve"> to</w:t>
      </w:r>
      <w:r w:rsidRPr="00663A85">
        <w:rPr>
          <w:rFonts w:ascii="Times New Roman" w:hAnsi="Times New Roman" w:cs="Times New Roman"/>
          <w:bCs/>
          <w:sz w:val="24"/>
          <w:szCs w:val="24"/>
        </w:rPr>
        <w:t xml:space="preserve"> joint powers authorities or Local Agency Formation Commissions. </w:t>
      </w:r>
      <w:bookmarkStart w:id="2" w:name="_Hlk129098041"/>
      <w:r w:rsidR="00A6640B">
        <w:rPr>
          <w:rFonts w:ascii="Times New Roman" w:hAnsi="Times New Roman" w:cs="Times New Roman"/>
          <w:bCs/>
          <w:sz w:val="24"/>
          <w:szCs w:val="24"/>
        </w:rPr>
        <w:t xml:space="preserve"> </w:t>
      </w:r>
      <w:r w:rsidR="005E2DAD">
        <w:rPr>
          <w:rFonts w:ascii="Times New Roman" w:hAnsi="Times New Roman" w:cs="Times New Roman"/>
          <w:bCs/>
          <w:sz w:val="24"/>
          <w:szCs w:val="24"/>
        </w:rPr>
        <w:t>Effective as of January 1, 2023</w:t>
      </w:r>
      <w:bookmarkEnd w:id="2"/>
      <w:r w:rsidR="005E2DAD">
        <w:rPr>
          <w:rFonts w:ascii="Times New Roman" w:hAnsi="Times New Roman" w:cs="Times New Roman"/>
          <w:bCs/>
          <w:sz w:val="24"/>
          <w:szCs w:val="24"/>
        </w:rPr>
        <w:t xml:space="preserve">, </w:t>
      </w:r>
      <w:r>
        <w:rPr>
          <w:rFonts w:ascii="Times New Roman" w:hAnsi="Times New Roman" w:cs="Times New Roman"/>
          <w:bCs/>
          <w:sz w:val="24"/>
          <w:szCs w:val="24"/>
        </w:rPr>
        <w:t>SB 1439 amends s</w:t>
      </w:r>
      <w:r w:rsidRPr="00C24C59">
        <w:rPr>
          <w:rFonts w:ascii="Times New Roman" w:hAnsi="Times New Roman" w:cs="Times New Roman"/>
          <w:bCs/>
          <w:sz w:val="24"/>
          <w:szCs w:val="24"/>
        </w:rPr>
        <w:t xml:space="preserve">ection 84308 </w:t>
      </w:r>
      <w:r>
        <w:rPr>
          <w:rFonts w:ascii="Times New Roman" w:hAnsi="Times New Roman" w:cs="Times New Roman"/>
          <w:bCs/>
          <w:sz w:val="24"/>
          <w:szCs w:val="24"/>
        </w:rPr>
        <w:t xml:space="preserve">to </w:t>
      </w:r>
      <w:r w:rsidRPr="00C24C59">
        <w:rPr>
          <w:rFonts w:ascii="Times New Roman" w:hAnsi="Times New Roman" w:cs="Times New Roman"/>
          <w:bCs/>
          <w:sz w:val="24"/>
          <w:szCs w:val="24"/>
        </w:rPr>
        <w:t xml:space="preserve">apply </w:t>
      </w:r>
      <w:r w:rsidR="00777EC4" w:rsidRPr="00777EC4">
        <w:rPr>
          <w:rFonts w:ascii="Times New Roman" w:hAnsi="Times New Roman" w:cs="Times New Roman"/>
          <w:bCs/>
          <w:sz w:val="24"/>
          <w:szCs w:val="24"/>
        </w:rPr>
        <w:t xml:space="preserve">to elected officials sitting on their </w:t>
      </w:r>
      <w:r w:rsidR="00A6640B">
        <w:rPr>
          <w:rFonts w:ascii="Times New Roman" w:hAnsi="Times New Roman" w:cs="Times New Roman"/>
          <w:bCs/>
          <w:sz w:val="24"/>
          <w:szCs w:val="24"/>
        </w:rPr>
        <w:t xml:space="preserve">own elected </w:t>
      </w:r>
      <w:r w:rsidR="00777EC4" w:rsidRPr="00777EC4">
        <w:rPr>
          <w:rFonts w:ascii="Times New Roman" w:hAnsi="Times New Roman" w:cs="Times New Roman"/>
          <w:bCs/>
          <w:sz w:val="24"/>
          <w:szCs w:val="24"/>
        </w:rPr>
        <w:t>governing boards</w:t>
      </w:r>
      <w:r w:rsidRPr="00C24C59">
        <w:rPr>
          <w:rFonts w:ascii="Times New Roman" w:hAnsi="Times New Roman" w:cs="Times New Roman"/>
          <w:bCs/>
          <w:sz w:val="24"/>
          <w:szCs w:val="24"/>
        </w:rPr>
        <w:t xml:space="preserve">. </w:t>
      </w:r>
    </w:p>
    <w:p w14:paraId="32755736" w14:textId="015B36EE" w:rsidR="00C4494C" w:rsidRDefault="00C24C59" w:rsidP="00AD14C2">
      <w:pPr>
        <w:pStyle w:val="ListParagraph"/>
        <w:numPr>
          <w:ilvl w:val="1"/>
          <w:numId w:val="1"/>
        </w:numPr>
        <w:rPr>
          <w:rFonts w:ascii="Times New Roman" w:hAnsi="Times New Roman" w:cs="Times New Roman"/>
          <w:bCs/>
          <w:sz w:val="24"/>
          <w:szCs w:val="24"/>
        </w:rPr>
      </w:pPr>
      <w:bookmarkStart w:id="3" w:name="_Hlk129097974"/>
      <w:r>
        <w:rPr>
          <w:rFonts w:ascii="Times New Roman" w:hAnsi="Times New Roman" w:cs="Times New Roman"/>
          <w:bCs/>
          <w:sz w:val="24"/>
          <w:szCs w:val="24"/>
        </w:rPr>
        <w:t>Government Code s</w:t>
      </w:r>
      <w:r w:rsidRPr="00C24C59">
        <w:rPr>
          <w:rFonts w:ascii="Times New Roman" w:hAnsi="Times New Roman" w:cs="Times New Roman"/>
          <w:bCs/>
          <w:sz w:val="24"/>
          <w:szCs w:val="24"/>
        </w:rPr>
        <w:t>ection 84308 provides, in relevant part, that an officer</w:t>
      </w:r>
      <w:r w:rsidR="00051A3A">
        <w:rPr>
          <w:rFonts w:ascii="Times New Roman" w:hAnsi="Times New Roman" w:cs="Times New Roman"/>
          <w:bCs/>
          <w:sz w:val="24"/>
          <w:szCs w:val="24"/>
        </w:rPr>
        <w:t xml:space="preserve"> (as defined)</w:t>
      </w:r>
      <w:r w:rsidRPr="00C24C59">
        <w:rPr>
          <w:rFonts w:ascii="Times New Roman" w:hAnsi="Times New Roman" w:cs="Times New Roman"/>
          <w:bCs/>
          <w:sz w:val="24"/>
          <w:szCs w:val="24"/>
        </w:rPr>
        <w:t xml:space="preserve"> is prohibited from taking part in a license, permit, or other entitlement use proceeding if the officer has received a contribution</w:t>
      </w:r>
      <w:r w:rsidR="00051A3A">
        <w:rPr>
          <w:rFonts w:ascii="Times New Roman" w:hAnsi="Times New Roman" w:cs="Times New Roman"/>
          <w:bCs/>
          <w:sz w:val="24"/>
          <w:szCs w:val="24"/>
        </w:rPr>
        <w:t>, for any office the officer holds or seeks,</w:t>
      </w:r>
      <w:r w:rsidRPr="00C24C59">
        <w:rPr>
          <w:rFonts w:ascii="Times New Roman" w:hAnsi="Times New Roman" w:cs="Times New Roman"/>
          <w:bCs/>
          <w:sz w:val="24"/>
          <w:szCs w:val="24"/>
        </w:rPr>
        <w:t xml:space="preserve"> in excess of $250 within the preceding 12 months. </w:t>
      </w:r>
      <w:r w:rsidR="00A6640B">
        <w:rPr>
          <w:rFonts w:ascii="Times New Roman" w:hAnsi="Times New Roman" w:cs="Times New Roman"/>
          <w:bCs/>
          <w:sz w:val="24"/>
          <w:szCs w:val="24"/>
        </w:rPr>
        <w:t xml:space="preserve"> </w:t>
      </w:r>
      <w:r w:rsidRPr="00C24C59">
        <w:rPr>
          <w:rFonts w:ascii="Times New Roman" w:hAnsi="Times New Roman" w:cs="Times New Roman"/>
          <w:bCs/>
          <w:sz w:val="24"/>
          <w:szCs w:val="24"/>
        </w:rPr>
        <w:t xml:space="preserve">An officer is also prohibited from accepting a contribution in excess of $250 during the proceeding and for </w:t>
      </w:r>
      <w:r w:rsidR="001977B3">
        <w:rPr>
          <w:rFonts w:ascii="Times New Roman" w:hAnsi="Times New Roman" w:cs="Times New Roman"/>
          <w:bCs/>
          <w:sz w:val="24"/>
          <w:szCs w:val="24"/>
        </w:rPr>
        <w:t>12</w:t>
      </w:r>
      <w:r w:rsidRPr="00C24C59">
        <w:rPr>
          <w:rFonts w:ascii="Times New Roman" w:hAnsi="Times New Roman" w:cs="Times New Roman"/>
          <w:bCs/>
          <w:sz w:val="24"/>
          <w:szCs w:val="24"/>
        </w:rPr>
        <w:t xml:space="preserve"> months following the date a final decision is rendered in the proceeding</w:t>
      </w:r>
      <w:r w:rsidR="00777EC4">
        <w:rPr>
          <w:rFonts w:ascii="Times New Roman" w:hAnsi="Times New Roman" w:cs="Times New Roman"/>
          <w:bCs/>
          <w:sz w:val="24"/>
          <w:szCs w:val="24"/>
        </w:rPr>
        <w:t xml:space="preserve">. </w:t>
      </w:r>
    </w:p>
    <w:bookmarkEnd w:id="3"/>
    <w:p w14:paraId="169F9037" w14:textId="77777777" w:rsidR="0067035A" w:rsidRPr="0072077B" w:rsidRDefault="0067035A" w:rsidP="00AD14C2">
      <w:pPr>
        <w:pStyle w:val="ListParagraph"/>
        <w:rPr>
          <w:rFonts w:ascii="Times New Roman" w:hAnsi="Times New Roman" w:cs="Times New Roman"/>
          <w:bCs/>
          <w:sz w:val="24"/>
          <w:szCs w:val="24"/>
        </w:rPr>
      </w:pPr>
    </w:p>
    <w:p w14:paraId="5DCDF64A" w14:textId="5DC2C89E" w:rsidR="0072077B" w:rsidRPr="0072077B" w:rsidRDefault="00BD6ABC" w:rsidP="00AD14C2">
      <w:pPr>
        <w:pStyle w:val="ListParagraph"/>
        <w:numPr>
          <w:ilvl w:val="0"/>
          <w:numId w:val="1"/>
        </w:numPr>
        <w:rPr>
          <w:rFonts w:ascii="Times New Roman" w:hAnsi="Times New Roman" w:cs="Times New Roman"/>
          <w:b/>
          <w:sz w:val="24"/>
          <w:szCs w:val="24"/>
        </w:rPr>
      </w:pPr>
      <w:r w:rsidRPr="0072077B">
        <w:rPr>
          <w:rFonts w:ascii="Times New Roman" w:hAnsi="Times New Roman" w:cs="Times New Roman"/>
          <w:b/>
          <w:sz w:val="24"/>
          <w:szCs w:val="24"/>
        </w:rPr>
        <w:t>Policy</w:t>
      </w:r>
      <w:r w:rsidR="00EA57D5">
        <w:rPr>
          <w:rFonts w:ascii="Times New Roman" w:hAnsi="Times New Roman" w:cs="Times New Roman"/>
          <w:b/>
          <w:sz w:val="24"/>
          <w:szCs w:val="24"/>
        </w:rPr>
        <w:t xml:space="preserve"> and Procedure </w:t>
      </w:r>
    </w:p>
    <w:p w14:paraId="26C03EF2" w14:textId="42A3D4AF" w:rsidR="00B7650D" w:rsidRDefault="00EA57D5" w:rsidP="00AD14C2">
      <w:pPr>
        <w:pStyle w:val="ListParagraph"/>
        <w:numPr>
          <w:ilvl w:val="1"/>
          <w:numId w:val="1"/>
        </w:numPr>
        <w:rPr>
          <w:rFonts w:ascii="Times New Roman" w:hAnsi="Times New Roman" w:cs="Times New Roman"/>
          <w:bCs/>
          <w:sz w:val="24"/>
          <w:szCs w:val="24"/>
        </w:rPr>
      </w:pPr>
      <w:bookmarkStart w:id="4" w:name="_Hlk127525774"/>
      <w:bookmarkStart w:id="5" w:name="_Hlk127525760"/>
      <w:r w:rsidRPr="00644CEB">
        <w:rPr>
          <w:rFonts w:ascii="Times New Roman" w:hAnsi="Times New Roman" w:cs="Times New Roman"/>
          <w:bCs/>
          <w:sz w:val="24"/>
          <w:szCs w:val="24"/>
        </w:rPr>
        <w:t xml:space="preserve">This </w:t>
      </w:r>
      <w:r>
        <w:rPr>
          <w:rFonts w:ascii="Times New Roman" w:hAnsi="Times New Roman" w:cs="Times New Roman"/>
          <w:bCs/>
          <w:sz w:val="24"/>
          <w:szCs w:val="24"/>
        </w:rPr>
        <w:t>P</w:t>
      </w:r>
      <w:r w:rsidRPr="00644CEB">
        <w:rPr>
          <w:rFonts w:ascii="Times New Roman" w:hAnsi="Times New Roman" w:cs="Times New Roman"/>
          <w:bCs/>
          <w:sz w:val="24"/>
          <w:szCs w:val="24"/>
        </w:rPr>
        <w:t xml:space="preserve">olicy applies to all County </w:t>
      </w:r>
      <w:r>
        <w:rPr>
          <w:rFonts w:ascii="Times New Roman" w:hAnsi="Times New Roman" w:cs="Times New Roman"/>
          <w:bCs/>
          <w:sz w:val="24"/>
          <w:szCs w:val="24"/>
        </w:rPr>
        <w:t xml:space="preserve">officers and </w:t>
      </w:r>
      <w:r w:rsidRPr="00644CEB">
        <w:rPr>
          <w:rFonts w:ascii="Times New Roman" w:hAnsi="Times New Roman" w:cs="Times New Roman"/>
          <w:bCs/>
          <w:sz w:val="24"/>
          <w:szCs w:val="24"/>
        </w:rPr>
        <w:t xml:space="preserve">departments. </w:t>
      </w:r>
      <w:r>
        <w:rPr>
          <w:rFonts w:ascii="Times New Roman" w:hAnsi="Times New Roman" w:cs="Times New Roman"/>
          <w:bCs/>
          <w:sz w:val="24"/>
          <w:szCs w:val="24"/>
        </w:rPr>
        <w:t xml:space="preserve"> </w:t>
      </w:r>
      <w:r w:rsidRPr="00644CEB">
        <w:rPr>
          <w:rFonts w:ascii="Times New Roman" w:hAnsi="Times New Roman" w:cs="Times New Roman"/>
          <w:bCs/>
          <w:sz w:val="24"/>
          <w:szCs w:val="24"/>
        </w:rPr>
        <w:t xml:space="preserve">County departments may have policies specific to their departments, not in conflict with this </w:t>
      </w:r>
      <w:r>
        <w:rPr>
          <w:rFonts w:ascii="Times New Roman" w:hAnsi="Times New Roman" w:cs="Times New Roman"/>
          <w:bCs/>
          <w:sz w:val="24"/>
          <w:szCs w:val="24"/>
        </w:rPr>
        <w:t>P</w:t>
      </w:r>
      <w:r w:rsidRPr="00644CEB">
        <w:rPr>
          <w:rFonts w:ascii="Times New Roman" w:hAnsi="Times New Roman" w:cs="Times New Roman"/>
          <w:bCs/>
          <w:sz w:val="24"/>
          <w:szCs w:val="24"/>
        </w:rPr>
        <w:t>olicy, to maintain Levine Act compliance for licenses, permits, or entitlements for use</w:t>
      </w:r>
      <w:r>
        <w:rPr>
          <w:rFonts w:ascii="Times New Roman" w:hAnsi="Times New Roman" w:cs="Times New Roman"/>
          <w:bCs/>
          <w:sz w:val="24"/>
          <w:szCs w:val="24"/>
        </w:rPr>
        <w:t xml:space="preserve">.  </w:t>
      </w:r>
    </w:p>
    <w:p w14:paraId="316B6848" w14:textId="578A149C" w:rsidR="003F741A" w:rsidRPr="003F741A" w:rsidRDefault="003F741A" w:rsidP="003F741A">
      <w:pPr>
        <w:pStyle w:val="ListParagraph"/>
        <w:numPr>
          <w:ilvl w:val="1"/>
          <w:numId w:val="1"/>
        </w:numPr>
        <w:rPr>
          <w:rFonts w:ascii="Times New Roman" w:eastAsia="Times New Roman" w:hAnsi="Times New Roman" w:cs="Times New Roman"/>
          <w:sz w:val="24"/>
          <w:szCs w:val="24"/>
        </w:rPr>
      </w:pPr>
      <w:r w:rsidRPr="003F741A">
        <w:rPr>
          <w:rFonts w:ascii="Times New Roman" w:eastAsia="Times New Roman" w:hAnsi="Times New Roman" w:cs="Times New Roman"/>
          <w:sz w:val="24"/>
          <w:szCs w:val="24"/>
        </w:rPr>
        <w:t>Any questions concerning compliance with th</w:t>
      </w:r>
      <w:r>
        <w:rPr>
          <w:rFonts w:ascii="Times New Roman" w:eastAsia="Times New Roman" w:hAnsi="Times New Roman" w:cs="Times New Roman"/>
          <w:sz w:val="24"/>
          <w:szCs w:val="24"/>
        </w:rPr>
        <w:t>is</w:t>
      </w:r>
      <w:r w:rsidRPr="003F741A">
        <w:rPr>
          <w:rFonts w:ascii="Times New Roman" w:eastAsia="Times New Roman" w:hAnsi="Times New Roman" w:cs="Times New Roman"/>
          <w:sz w:val="24"/>
          <w:szCs w:val="24"/>
        </w:rPr>
        <w:t xml:space="preserve"> Policy should be directed to the Office of the County Counsel.  </w:t>
      </w:r>
    </w:p>
    <w:bookmarkEnd w:id="4"/>
    <w:p w14:paraId="61E4E547" w14:textId="4071246F" w:rsidR="00E76636" w:rsidRPr="00E76636" w:rsidRDefault="00EA57D5" w:rsidP="00AD14C2">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 xml:space="preserve">The </w:t>
      </w:r>
      <w:r w:rsidR="00B7650D">
        <w:rPr>
          <w:rFonts w:ascii="Times New Roman" w:hAnsi="Times New Roman" w:cs="Times New Roman"/>
          <w:bCs/>
          <w:sz w:val="24"/>
          <w:szCs w:val="24"/>
        </w:rPr>
        <w:t>p</w:t>
      </w:r>
      <w:r>
        <w:rPr>
          <w:rFonts w:ascii="Times New Roman" w:hAnsi="Times New Roman" w:cs="Times New Roman"/>
          <w:bCs/>
          <w:sz w:val="24"/>
          <w:szCs w:val="24"/>
        </w:rPr>
        <w:t>olicy</w:t>
      </w:r>
      <w:r w:rsidR="00B7650D">
        <w:rPr>
          <w:rFonts w:ascii="Times New Roman" w:hAnsi="Times New Roman" w:cs="Times New Roman"/>
          <w:bCs/>
          <w:sz w:val="24"/>
          <w:szCs w:val="24"/>
        </w:rPr>
        <w:t xml:space="preserve"> and procedure</w:t>
      </w:r>
      <w:r>
        <w:rPr>
          <w:rFonts w:ascii="Times New Roman" w:hAnsi="Times New Roman" w:cs="Times New Roman"/>
          <w:bCs/>
          <w:sz w:val="24"/>
          <w:szCs w:val="24"/>
        </w:rPr>
        <w:t xml:space="preserve"> </w:t>
      </w:r>
      <w:r w:rsidR="00B7650D">
        <w:rPr>
          <w:rFonts w:ascii="Times New Roman" w:hAnsi="Times New Roman" w:cs="Times New Roman"/>
          <w:bCs/>
          <w:sz w:val="24"/>
          <w:szCs w:val="24"/>
        </w:rPr>
        <w:t>are</w:t>
      </w:r>
      <w:r>
        <w:rPr>
          <w:rFonts w:ascii="Times New Roman" w:hAnsi="Times New Roman" w:cs="Times New Roman"/>
          <w:bCs/>
          <w:sz w:val="24"/>
          <w:szCs w:val="24"/>
        </w:rPr>
        <w:t xml:space="preserve"> as follows</w:t>
      </w:r>
      <w:r w:rsidR="00E76636" w:rsidRPr="00E76636">
        <w:rPr>
          <w:rFonts w:ascii="Times New Roman" w:hAnsi="Times New Roman" w:cs="Times New Roman"/>
          <w:bCs/>
          <w:sz w:val="24"/>
          <w:szCs w:val="24"/>
        </w:rPr>
        <w:t>:</w:t>
      </w:r>
    </w:p>
    <w:p w14:paraId="59A121F7" w14:textId="77777777" w:rsidR="00E76636" w:rsidRPr="00E76636" w:rsidRDefault="00E76636" w:rsidP="00AD14C2">
      <w:pPr>
        <w:pStyle w:val="ListParagraph"/>
        <w:numPr>
          <w:ilvl w:val="2"/>
          <w:numId w:val="1"/>
        </w:numPr>
        <w:rPr>
          <w:rFonts w:ascii="Times New Roman" w:hAnsi="Times New Roman" w:cs="Times New Roman"/>
          <w:bCs/>
          <w:sz w:val="24"/>
          <w:szCs w:val="24"/>
        </w:rPr>
      </w:pPr>
      <w:r w:rsidRPr="00E76636">
        <w:rPr>
          <w:rFonts w:ascii="Times New Roman" w:hAnsi="Times New Roman" w:cs="Times New Roman"/>
          <w:bCs/>
          <w:sz w:val="24"/>
          <w:szCs w:val="24"/>
        </w:rPr>
        <w:t xml:space="preserve">While a license, permit, or other entitlement for use from the County is pending, and for 12 months after a final decision is rendered on the matter, a County </w:t>
      </w:r>
      <w:bookmarkStart w:id="6" w:name="_Hlk129258889"/>
      <w:r w:rsidRPr="00E76636">
        <w:rPr>
          <w:rFonts w:ascii="Times New Roman" w:hAnsi="Times New Roman" w:cs="Times New Roman"/>
          <w:bCs/>
          <w:sz w:val="24"/>
          <w:szCs w:val="24"/>
        </w:rPr>
        <w:t xml:space="preserve">officer </w:t>
      </w:r>
      <w:bookmarkEnd w:id="6"/>
      <w:r w:rsidRPr="00E76636">
        <w:rPr>
          <w:rFonts w:ascii="Times New Roman" w:hAnsi="Times New Roman" w:cs="Times New Roman"/>
          <w:bCs/>
          <w:sz w:val="24"/>
          <w:szCs w:val="24"/>
        </w:rPr>
        <w:t xml:space="preserve">may not solicit, accept, or direct a contribution of more than $250 from a party, a party’s agent, or a </w:t>
      </w:r>
      <w:r w:rsidRPr="00E76636">
        <w:rPr>
          <w:rFonts w:ascii="Times New Roman" w:hAnsi="Times New Roman" w:cs="Times New Roman"/>
          <w:bCs/>
          <w:sz w:val="24"/>
          <w:szCs w:val="24"/>
        </w:rPr>
        <w:lastRenderedPageBreak/>
        <w:t>participant with a financial interest if the officer has reason to know that the participant has a financial interest.</w:t>
      </w:r>
    </w:p>
    <w:p w14:paraId="365DEBBA" w14:textId="77777777" w:rsidR="00EA57D5" w:rsidRDefault="00E76636" w:rsidP="00AD14C2">
      <w:pPr>
        <w:pStyle w:val="ListParagraph"/>
        <w:numPr>
          <w:ilvl w:val="2"/>
          <w:numId w:val="1"/>
        </w:numPr>
        <w:rPr>
          <w:rFonts w:ascii="Times New Roman" w:hAnsi="Times New Roman" w:cs="Times New Roman"/>
          <w:bCs/>
          <w:sz w:val="24"/>
          <w:szCs w:val="24"/>
        </w:rPr>
      </w:pPr>
      <w:r w:rsidRPr="00E76636">
        <w:rPr>
          <w:rFonts w:ascii="Times New Roman" w:hAnsi="Times New Roman" w:cs="Times New Roman"/>
          <w:bCs/>
          <w:sz w:val="24"/>
          <w:szCs w:val="24"/>
        </w:rPr>
        <w:t>A County officer may not make, participate in making, or in any way use the officer’s official position to influence a decision regarding a license, permit, or other entitlement for use from the County if the officer has willfully or knowingly received a contribution of more than $250 from a party, a party’s agent, or a participant within the preceding 12 months.</w:t>
      </w:r>
      <w:r w:rsidR="00EA57D5">
        <w:rPr>
          <w:rFonts w:ascii="Times New Roman" w:hAnsi="Times New Roman" w:cs="Times New Roman"/>
          <w:bCs/>
          <w:sz w:val="24"/>
          <w:szCs w:val="24"/>
        </w:rPr>
        <w:t xml:space="preserve">  </w:t>
      </w:r>
    </w:p>
    <w:p w14:paraId="091C8DA5" w14:textId="2D740BA9" w:rsidR="00E76636" w:rsidRDefault="00EA57D5" w:rsidP="00AD14C2">
      <w:pPr>
        <w:pStyle w:val="ListParagraph"/>
        <w:numPr>
          <w:ilvl w:val="2"/>
          <w:numId w:val="1"/>
        </w:numPr>
        <w:rPr>
          <w:rFonts w:ascii="Times New Roman" w:hAnsi="Times New Roman" w:cs="Times New Roman"/>
          <w:bCs/>
          <w:sz w:val="24"/>
          <w:szCs w:val="24"/>
        </w:rPr>
      </w:pPr>
      <w:bookmarkStart w:id="7" w:name="_Hlk129256872"/>
      <w:r w:rsidRPr="00C4494C">
        <w:rPr>
          <w:rFonts w:ascii="Times New Roman" w:eastAsia="Times New Roman" w:hAnsi="Times New Roman" w:cs="Times New Roman"/>
          <w:sz w:val="24"/>
          <w:szCs w:val="24"/>
        </w:rPr>
        <w:t>Before participating in any decision in a proceeding involving a license, permit or other entitlement for use, a</w:t>
      </w:r>
      <w:r>
        <w:rPr>
          <w:rFonts w:ascii="Times New Roman" w:eastAsia="Times New Roman" w:hAnsi="Times New Roman" w:cs="Times New Roman"/>
          <w:sz w:val="24"/>
          <w:szCs w:val="24"/>
        </w:rPr>
        <w:t xml:space="preserve"> County</w:t>
      </w:r>
      <w:r w:rsidRPr="00C4494C">
        <w:rPr>
          <w:rFonts w:ascii="Times New Roman" w:eastAsia="Times New Roman" w:hAnsi="Times New Roman" w:cs="Times New Roman"/>
          <w:sz w:val="24"/>
          <w:szCs w:val="24"/>
        </w:rPr>
        <w:t xml:space="preserve"> </w:t>
      </w:r>
      <w:r w:rsidR="003F741A">
        <w:rPr>
          <w:rFonts w:ascii="Times New Roman" w:eastAsia="Times New Roman" w:hAnsi="Times New Roman" w:cs="Times New Roman"/>
          <w:sz w:val="24"/>
          <w:szCs w:val="24"/>
        </w:rPr>
        <w:t>officer</w:t>
      </w:r>
      <w:r w:rsidRPr="00C4494C">
        <w:rPr>
          <w:rFonts w:ascii="Times New Roman" w:eastAsia="Times New Roman" w:hAnsi="Times New Roman" w:cs="Times New Roman"/>
          <w:sz w:val="24"/>
          <w:szCs w:val="24"/>
        </w:rPr>
        <w:t xml:space="preserve"> who received a contribution over $250 in the preceding 12 months from a party or any participant in the proceeding must disclose that fact on the record</w:t>
      </w:r>
      <w:r w:rsidR="00B7650D">
        <w:rPr>
          <w:rFonts w:ascii="Times New Roman" w:eastAsia="Times New Roman" w:hAnsi="Times New Roman" w:cs="Times New Roman"/>
          <w:sz w:val="24"/>
          <w:szCs w:val="24"/>
        </w:rPr>
        <w:t xml:space="preserve"> and recuse him or herself</w:t>
      </w:r>
      <w:bookmarkEnd w:id="7"/>
      <w:r w:rsidR="001D4E85">
        <w:rPr>
          <w:rFonts w:ascii="Times New Roman" w:eastAsia="Times New Roman" w:hAnsi="Times New Roman" w:cs="Times New Roman"/>
          <w:sz w:val="24"/>
          <w:szCs w:val="24"/>
        </w:rPr>
        <w:t>, and leave the dais and room where the meeting is being held</w:t>
      </w:r>
      <w:r>
        <w:rPr>
          <w:rFonts w:ascii="Times New Roman" w:eastAsia="Times New Roman" w:hAnsi="Times New Roman" w:cs="Times New Roman"/>
          <w:sz w:val="24"/>
          <w:szCs w:val="24"/>
        </w:rPr>
        <w:t>.</w:t>
      </w:r>
    </w:p>
    <w:p w14:paraId="2A9076F8" w14:textId="0F6AD179" w:rsidR="00EA57D5" w:rsidRDefault="00EA57D5" w:rsidP="00AD14C2">
      <w:pPr>
        <w:pStyle w:val="ListParagraph"/>
        <w:numPr>
          <w:ilvl w:val="2"/>
          <w:numId w:val="1"/>
        </w:numPr>
        <w:rPr>
          <w:rFonts w:ascii="Times New Roman" w:hAnsi="Times New Roman" w:cs="Times New Roman"/>
          <w:bCs/>
          <w:sz w:val="24"/>
          <w:szCs w:val="24"/>
        </w:rPr>
      </w:pPr>
      <w:r w:rsidRPr="00C4494C">
        <w:rPr>
          <w:rFonts w:ascii="Times New Roman" w:eastAsia="Times New Roman" w:hAnsi="Times New Roman" w:cs="Times New Roman"/>
          <w:sz w:val="24"/>
          <w:szCs w:val="24"/>
        </w:rPr>
        <w:t xml:space="preserve">If the </w:t>
      </w:r>
      <w:r>
        <w:rPr>
          <w:rFonts w:ascii="Times New Roman" w:eastAsia="Times New Roman" w:hAnsi="Times New Roman" w:cs="Times New Roman"/>
          <w:sz w:val="24"/>
          <w:szCs w:val="24"/>
        </w:rPr>
        <w:t xml:space="preserve">County </w:t>
      </w:r>
      <w:r w:rsidR="003F741A">
        <w:rPr>
          <w:rFonts w:ascii="Times New Roman" w:eastAsia="Times New Roman" w:hAnsi="Times New Roman" w:cs="Times New Roman"/>
          <w:sz w:val="24"/>
          <w:szCs w:val="24"/>
        </w:rPr>
        <w:t>officer</w:t>
      </w:r>
      <w:r w:rsidRPr="00C4494C">
        <w:rPr>
          <w:rFonts w:ascii="Times New Roman" w:eastAsia="Times New Roman" w:hAnsi="Times New Roman" w:cs="Times New Roman"/>
          <w:sz w:val="24"/>
          <w:szCs w:val="24"/>
        </w:rPr>
        <w:t xml:space="preserve"> returns the contribution within 30 days from the time the </w:t>
      </w:r>
      <w:r w:rsidR="003F741A">
        <w:rPr>
          <w:rFonts w:ascii="Times New Roman" w:eastAsia="Times New Roman" w:hAnsi="Times New Roman" w:cs="Times New Roman"/>
          <w:sz w:val="24"/>
          <w:szCs w:val="24"/>
        </w:rPr>
        <w:t>officer</w:t>
      </w:r>
      <w:r w:rsidRPr="00C4494C">
        <w:rPr>
          <w:rFonts w:ascii="Times New Roman" w:eastAsia="Times New Roman" w:hAnsi="Times New Roman" w:cs="Times New Roman"/>
          <w:sz w:val="24"/>
          <w:szCs w:val="24"/>
        </w:rPr>
        <w:t xml:space="preserve"> knows or should have known about the contribution and relevant proceeding, the officer may participate in the decision</w:t>
      </w:r>
      <w:r>
        <w:rPr>
          <w:rFonts w:ascii="Times New Roman" w:eastAsia="Times New Roman" w:hAnsi="Times New Roman" w:cs="Times New Roman"/>
          <w:sz w:val="24"/>
          <w:szCs w:val="24"/>
        </w:rPr>
        <w:t>.</w:t>
      </w:r>
    </w:p>
    <w:p w14:paraId="2F0EB3FF" w14:textId="37E42811" w:rsidR="00E76636" w:rsidRPr="00E76636" w:rsidRDefault="00E76636" w:rsidP="00AD14C2">
      <w:pPr>
        <w:pStyle w:val="ListParagraph"/>
        <w:numPr>
          <w:ilvl w:val="2"/>
          <w:numId w:val="1"/>
        </w:numPr>
        <w:rPr>
          <w:rFonts w:ascii="Times New Roman" w:hAnsi="Times New Roman" w:cs="Times New Roman"/>
          <w:bCs/>
          <w:sz w:val="24"/>
          <w:szCs w:val="24"/>
        </w:rPr>
      </w:pPr>
      <w:r w:rsidRPr="00E76636">
        <w:rPr>
          <w:rFonts w:ascii="Times New Roman" w:hAnsi="Times New Roman" w:cs="Times New Roman"/>
          <w:bCs/>
          <w:sz w:val="24"/>
          <w:szCs w:val="24"/>
        </w:rPr>
        <w:t xml:space="preserve">A party, or an agent for a party, seeking a license, permit, or other entitlement for use or a participant in the proceeding may not </w:t>
      </w:r>
      <w:r w:rsidR="001D4E85">
        <w:rPr>
          <w:rFonts w:ascii="Times New Roman" w:hAnsi="Times New Roman" w:cs="Times New Roman"/>
          <w:bCs/>
          <w:sz w:val="24"/>
          <w:szCs w:val="24"/>
        </w:rPr>
        <w:t xml:space="preserve">make a </w:t>
      </w:r>
      <w:r w:rsidRPr="00E76636">
        <w:rPr>
          <w:rFonts w:ascii="Times New Roman" w:hAnsi="Times New Roman" w:cs="Times New Roman"/>
          <w:bCs/>
          <w:sz w:val="24"/>
          <w:szCs w:val="24"/>
        </w:rPr>
        <w:t>contribut</w:t>
      </w:r>
      <w:r w:rsidR="001D4E85">
        <w:rPr>
          <w:rFonts w:ascii="Times New Roman" w:hAnsi="Times New Roman" w:cs="Times New Roman"/>
          <w:bCs/>
          <w:sz w:val="24"/>
          <w:szCs w:val="24"/>
        </w:rPr>
        <w:t xml:space="preserve">ion in excess of </w:t>
      </w:r>
      <w:r w:rsidRPr="00E76636">
        <w:rPr>
          <w:rFonts w:ascii="Times New Roman" w:hAnsi="Times New Roman" w:cs="Times New Roman"/>
          <w:bCs/>
          <w:sz w:val="24"/>
          <w:szCs w:val="24"/>
        </w:rPr>
        <w:t xml:space="preserve">$250 to a County officer while the matter is pending before the County or within 12 months after there has been a final decision on the matter. </w:t>
      </w:r>
      <w:r w:rsidR="00EA57D5">
        <w:rPr>
          <w:rFonts w:ascii="Times New Roman" w:hAnsi="Times New Roman" w:cs="Times New Roman"/>
          <w:bCs/>
          <w:sz w:val="24"/>
          <w:szCs w:val="24"/>
        </w:rPr>
        <w:t xml:space="preserve"> </w:t>
      </w:r>
      <w:r w:rsidRPr="00E76636">
        <w:rPr>
          <w:rFonts w:ascii="Times New Roman" w:hAnsi="Times New Roman" w:cs="Times New Roman"/>
          <w:bCs/>
          <w:sz w:val="24"/>
          <w:szCs w:val="24"/>
        </w:rPr>
        <w:t>The party to the pending matter must disclose on the record any qualifying contribution made within the preceding 12 months.</w:t>
      </w:r>
    </w:p>
    <w:p w14:paraId="032F9EA5" w14:textId="11F7608B" w:rsidR="00C4494C" w:rsidRPr="003F741A" w:rsidRDefault="00E76636" w:rsidP="0030444F">
      <w:pPr>
        <w:pStyle w:val="ListParagraph"/>
        <w:numPr>
          <w:ilvl w:val="2"/>
          <w:numId w:val="1"/>
        </w:numPr>
        <w:rPr>
          <w:rFonts w:eastAsia="Times New Roman"/>
        </w:rPr>
      </w:pPr>
      <w:r w:rsidRPr="00E76636">
        <w:rPr>
          <w:rFonts w:ascii="Times New Roman" w:hAnsi="Times New Roman" w:cs="Times New Roman"/>
          <w:bCs/>
          <w:sz w:val="24"/>
          <w:szCs w:val="24"/>
        </w:rPr>
        <w:t>A party to a proceeding involving a license, permit, or other entitlement for use pending before the County in the proceeding must disclose any contribution of more than $250 made to a County officer within the preceding 12 months by the party or the party’s agent.</w:t>
      </w:r>
      <w:bookmarkStart w:id="8" w:name="_Hlk129098292"/>
      <w:bookmarkEnd w:id="5"/>
    </w:p>
    <w:bookmarkEnd w:id="8"/>
    <w:p w14:paraId="7913D82B" w14:textId="77777777" w:rsidR="003F741A" w:rsidRDefault="003F741A" w:rsidP="003F741A">
      <w:pPr>
        <w:pStyle w:val="ListParagraph"/>
        <w:rPr>
          <w:rFonts w:ascii="Times New Roman" w:hAnsi="Times New Roman" w:cs="Times New Roman"/>
          <w:b/>
          <w:sz w:val="24"/>
          <w:szCs w:val="24"/>
        </w:rPr>
      </w:pPr>
    </w:p>
    <w:p w14:paraId="73049802" w14:textId="08E5F5D0" w:rsidR="0072077B" w:rsidRPr="0072077B" w:rsidRDefault="00BD6ABC" w:rsidP="0072077B">
      <w:pPr>
        <w:pStyle w:val="ListParagraph"/>
        <w:numPr>
          <w:ilvl w:val="0"/>
          <w:numId w:val="1"/>
        </w:numPr>
        <w:rPr>
          <w:rFonts w:ascii="Times New Roman" w:hAnsi="Times New Roman" w:cs="Times New Roman"/>
          <w:b/>
          <w:sz w:val="24"/>
          <w:szCs w:val="24"/>
        </w:rPr>
      </w:pPr>
      <w:r w:rsidRPr="0072077B">
        <w:rPr>
          <w:rFonts w:ascii="Times New Roman" w:hAnsi="Times New Roman" w:cs="Times New Roman"/>
          <w:b/>
          <w:sz w:val="24"/>
          <w:szCs w:val="24"/>
        </w:rPr>
        <w:t>Review Date</w:t>
      </w:r>
    </w:p>
    <w:p w14:paraId="432624A6" w14:textId="2D9832AB" w:rsidR="0072077B" w:rsidRPr="00604B5F" w:rsidRDefault="00BD6ABC" w:rsidP="00604B5F">
      <w:pPr>
        <w:pStyle w:val="ListParagraph"/>
        <w:numPr>
          <w:ilvl w:val="1"/>
          <w:numId w:val="1"/>
        </w:numPr>
        <w:rPr>
          <w:rFonts w:ascii="Times New Roman" w:hAnsi="Times New Roman" w:cs="Times New Roman"/>
          <w:bCs/>
          <w:sz w:val="24"/>
          <w:szCs w:val="24"/>
        </w:rPr>
      </w:pPr>
      <w:r w:rsidRPr="0072077B">
        <w:rPr>
          <w:rFonts w:ascii="Times New Roman" w:hAnsi="Times New Roman" w:cs="Times New Roman"/>
          <w:bCs/>
          <w:sz w:val="24"/>
          <w:szCs w:val="24"/>
        </w:rPr>
        <w:t>This Policy will be reviewed for continuance by</w:t>
      </w:r>
      <w:r w:rsidRPr="00604B5F">
        <w:rPr>
          <w:rFonts w:ascii="Times New Roman" w:hAnsi="Times New Roman" w:cs="Times New Roman"/>
          <w:bCs/>
          <w:iCs/>
          <w:sz w:val="24"/>
          <w:szCs w:val="24"/>
        </w:rPr>
        <w:t xml:space="preserve"> </w:t>
      </w:r>
      <w:r w:rsidR="00BD74EB">
        <w:rPr>
          <w:rFonts w:ascii="Times New Roman" w:hAnsi="Times New Roman" w:cs="Times New Roman"/>
          <w:bCs/>
          <w:iCs/>
          <w:sz w:val="24"/>
          <w:szCs w:val="24"/>
        </w:rPr>
        <w:t xml:space="preserve">March </w:t>
      </w:r>
      <w:r w:rsidR="00A21B01">
        <w:rPr>
          <w:rFonts w:ascii="Times New Roman" w:hAnsi="Times New Roman" w:cs="Times New Roman"/>
          <w:bCs/>
          <w:iCs/>
          <w:sz w:val="24"/>
          <w:szCs w:val="24"/>
        </w:rPr>
        <w:t>19</w:t>
      </w:r>
      <w:r w:rsidR="00604B5F" w:rsidRPr="00604B5F">
        <w:rPr>
          <w:rFonts w:ascii="Times New Roman" w:hAnsi="Times New Roman" w:cs="Times New Roman"/>
          <w:bCs/>
          <w:iCs/>
          <w:sz w:val="24"/>
          <w:szCs w:val="24"/>
        </w:rPr>
        <w:t>, 2028.</w:t>
      </w:r>
    </w:p>
    <w:p w14:paraId="1B3E809D" w14:textId="77777777" w:rsidR="009C0B74" w:rsidRPr="0072077B" w:rsidRDefault="009C0B74" w:rsidP="009C0B74">
      <w:pPr>
        <w:pStyle w:val="ListParagraph"/>
        <w:rPr>
          <w:rFonts w:ascii="Times New Roman" w:hAnsi="Times New Roman" w:cs="Times New Roman"/>
          <w:bCs/>
          <w:sz w:val="24"/>
          <w:szCs w:val="24"/>
        </w:rPr>
      </w:pPr>
    </w:p>
    <w:p w14:paraId="5EDD3501" w14:textId="77777777" w:rsidR="0072077B" w:rsidRPr="0072077B" w:rsidRDefault="00BD6ABC" w:rsidP="0072077B">
      <w:pPr>
        <w:pStyle w:val="ListParagraph"/>
        <w:numPr>
          <w:ilvl w:val="0"/>
          <w:numId w:val="1"/>
        </w:numPr>
        <w:rPr>
          <w:rFonts w:ascii="Times New Roman" w:hAnsi="Times New Roman" w:cs="Times New Roman"/>
          <w:b/>
          <w:sz w:val="24"/>
          <w:szCs w:val="24"/>
        </w:rPr>
      </w:pPr>
      <w:r w:rsidRPr="0072077B">
        <w:rPr>
          <w:rFonts w:ascii="Times New Roman" w:hAnsi="Times New Roman" w:cs="Times New Roman"/>
          <w:b/>
          <w:sz w:val="24"/>
          <w:szCs w:val="24"/>
        </w:rPr>
        <w:t>Board Action</w:t>
      </w:r>
    </w:p>
    <w:p w14:paraId="5A0CD9C8" w14:textId="7B500B47" w:rsidR="0072077B" w:rsidRPr="00604B5F" w:rsidRDefault="00BD6ABC" w:rsidP="00604B5F">
      <w:pPr>
        <w:pStyle w:val="ListParagraph"/>
        <w:numPr>
          <w:ilvl w:val="1"/>
          <w:numId w:val="1"/>
        </w:numPr>
        <w:rPr>
          <w:rFonts w:ascii="Times New Roman" w:hAnsi="Times New Roman" w:cs="Times New Roman"/>
          <w:bCs/>
          <w:sz w:val="24"/>
          <w:szCs w:val="24"/>
        </w:rPr>
      </w:pPr>
      <w:r w:rsidRPr="0072077B">
        <w:rPr>
          <w:rFonts w:ascii="Times New Roman" w:hAnsi="Times New Roman" w:cs="Times New Roman"/>
          <w:bCs/>
          <w:iCs/>
          <w:sz w:val="24"/>
          <w:szCs w:val="24"/>
        </w:rPr>
        <w:t>Legistar File Number:</w:t>
      </w:r>
      <w:r w:rsidR="00135BCA">
        <w:rPr>
          <w:rFonts w:ascii="Times New Roman" w:hAnsi="Times New Roman" w:cs="Times New Roman"/>
          <w:bCs/>
          <w:iCs/>
          <w:sz w:val="24"/>
          <w:szCs w:val="24"/>
        </w:rPr>
        <w:t xml:space="preserve"> </w:t>
      </w:r>
      <w:r w:rsidR="00BD74EB">
        <w:rPr>
          <w:rFonts w:ascii="Times New Roman" w:hAnsi="Times New Roman" w:cs="Times New Roman"/>
          <w:bCs/>
          <w:iCs/>
          <w:sz w:val="24"/>
          <w:szCs w:val="24"/>
        </w:rPr>
        <w:t>RES 23-041, March 21,</w:t>
      </w:r>
      <w:r w:rsidR="00135BCA">
        <w:rPr>
          <w:rFonts w:ascii="Times New Roman" w:hAnsi="Times New Roman" w:cs="Times New Roman"/>
          <w:bCs/>
          <w:iCs/>
          <w:sz w:val="24"/>
          <w:szCs w:val="24"/>
        </w:rPr>
        <w:t xml:space="preserve"> 2023.</w:t>
      </w:r>
    </w:p>
    <w:sectPr w:rsidR="0072077B" w:rsidRPr="00604B5F" w:rsidSect="0030378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C505" w14:textId="77777777" w:rsidR="00ED4794" w:rsidRDefault="00ED4794" w:rsidP="00A61496">
      <w:pPr>
        <w:spacing w:after="0" w:line="240" w:lineRule="auto"/>
      </w:pPr>
      <w:r>
        <w:separator/>
      </w:r>
    </w:p>
  </w:endnote>
  <w:endnote w:type="continuationSeparator" w:id="0">
    <w:p w14:paraId="7464871C" w14:textId="77777777" w:rsidR="00ED4794" w:rsidRDefault="00ED4794" w:rsidP="00A6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9294007"/>
      <w:docPartObj>
        <w:docPartGallery w:val="Page Numbers (Bottom of Page)"/>
        <w:docPartUnique/>
      </w:docPartObj>
    </w:sdtPr>
    <w:sdtEndPr>
      <w:rPr>
        <w:color w:val="7F7F7F" w:themeColor="background1" w:themeShade="7F"/>
        <w:spacing w:val="60"/>
      </w:rPr>
    </w:sdtEndPr>
    <w:sdtContent>
      <w:p w14:paraId="4FBF1B93" w14:textId="77777777" w:rsidR="0019634F" w:rsidRPr="0072077B" w:rsidRDefault="00B77874">
        <w:pPr>
          <w:pStyle w:val="Footer"/>
          <w:pBdr>
            <w:top w:val="single" w:sz="4" w:space="1" w:color="D9D9D9" w:themeColor="background1" w:themeShade="D9"/>
          </w:pBdr>
          <w:rPr>
            <w:rFonts w:ascii="Times New Roman" w:hAnsi="Times New Roman" w:cs="Times New Roman"/>
            <w:color w:val="7F7F7F" w:themeColor="background1" w:themeShade="7F"/>
            <w:spacing w:val="60"/>
          </w:rPr>
        </w:pPr>
        <w:r w:rsidRPr="0072077B">
          <w:rPr>
            <w:rFonts w:ascii="Times New Roman" w:hAnsi="Times New Roman" w:cs="Times New Roman"/>
          </w:rPr>
          <w:fldChar w:fldCharType="begin"/>
        </w:r>
        <w:r w:rsidRPr="0072077B">
          <w:rPr>
            <w:rFonts w:ascii="Times New Roman" w:hAnsi="Times New Roman" w:cs="Times New Roman"/>
          </w:rPr>
          <w:instrText xml:space="preserve"> PAGE   \* MERGEFORMAT </w:instrText>
        </w:r>
        <w:r w:rsidRPr="0072077B">
          <w:rPr>
            <w:rFonts w:ascii="Times New Roman" w:hAnsi="Times New Roman" w:cs="Times New Roman"/>
          </w:rPr>
          <w:fldChar w:fldCharType="separate"/>
        </w:r>
        <w:r w:rsidR="00AC6DD1" w:rsidRPr="0072077B">
          <w:rPr>
            <w:rFonts w:ascii="Times New Roman" w:hAnsi="Times New Roman" w:cs="Times New Roman"/>
            <w:b/>
            <w:bCs/>
            <w:noProof/>
          </w:rPr>
          <w:t>1</w:t>
        </w:r>
        <w:r w:rsidRPr="0072077B">
          <w:rPr>
            <w:rFonts w:ascii="Times New Roman" w:hAnsi="Times New Roman" w:cs="Times New Roman"/>
            <w:b/>
            <w:bCs/>
            <w:noProof/>
          </w:rPr>
          <w:fldChar w:fldCharType="end"/>
        </w:r>
        <w:r w:rsidRPr="0072077B">
          <w:rPr>
            <w:rFonts w:ascii="Times New Roman" w:hAnsi="Times New Roman" w:cs="Times New Roman"/>
            <w:b/>
            <w:bCs/>
          </w:rPr>
          <w:t xml:space="preserve"> | </w:t>
        </w:r>
        <w:r w:rsidRPr="0072077B">
          <w:rPr>
            <w:rFonts w:ascii="Times New Roman" w:hAnsi="Times New Roman" w:cs="Times New Roman"/>
            <w:color w:val="7F7F7F" w:themeColor="background1" w:themeShade="7F"/>
            <w:spacing w:val="60"/>
          </w:rPr>
          <w:t>Page</w:t>
        </w:r>
      </w:p>
      <w:p w14:paraId="7E4DFEBE" w14:textId="115C4942" w:rsidR="00B77874" w:rsidRPr="00270D96" w:rsidRDefault="00A21B01" w:rsidP="00270D96">
        <w:pPr>
          <w:pStyle w:val="Footer"/>
          <w:pBdr>
            <w:top w:val="single" w:sz="4" w:space="1" w:color="D9D9D9" w:themeColor="background1" w:themeShade="D9"/>
          </w:pBdr>
          <w:rPr>
            <w:b/>
            <w:bC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DDEF" w14:textId="77777777" w:rsidR="00ED4794" w:rsidRDefault="00ED4794" w:rsidP="00A61496">
      <w:pPr>
        <w:spacing w:after="0" w:line="240" w:lineRule="auto"/>
      </w:pPr>
      <w:r>
        <w:separator/>
      </w:r>
    </w:p>
  </w:footnote>
  <w:footnote w:type="continuationSeparator" w:id="0">
    <w:p w14:paraId="65742DE7" w14:textId="77777777" w:rsidR="00ED4794" w:rsidRDefault="00ED4794" w:rsidP="00A61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9CD2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475BBF"/>
    <w:multiLevelType w:val="hybridMultilevel"/>
    <w:tmpl w:val="719262FC"/>
    <w:lvl w:ilvl="0" w:tplc="04090019">
      <w:start w:val="1"/>
      <w:numFmt w:val="lowerLetter"/>
      <w:lvlText w:val="%1."/>
      <w:lvlJc w:val="left"/>
      <w:pPr>
        <w:ind w:left="180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2D2247"/>
    <w:multiLevelType w:val="hybridMultilevel"/>
    <w:tmpl w:val="538474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533BF"/>
    <w:multiLevelType w:val="hybridMultilevel"/>
    <w:tmpl w:val="C896DFCA"/>
    <w:lvl w:ilvl="0" w:tplc="6A8A8F3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16A2C"/>
    <w:multiLevelType w:val="hybridMultilevel"/>
    <w:tmpl w:val="CF9AE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580D35"/>
    <w:multiLevelType w:val="hybridMultilevel"/>
    <w:tmpl w:val="D458D4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A7B1D30"/>
    <w:multiLevelType w:val="hybridMultilevel"/>
    <w:tmpl w:val="CFAA68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70101B"/>
    <w:multiLevelType w:val="hybridMultilevel"/>
    <w:tmpl w:val="0AD0536E"/>
    <w:lvl w:ilvl="0" w:tplc="D9F29BFA">
      <w:start w:val="1"/>
      <w:numFmt w:val="upp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591620A"/>
    <w:multiLevelType w:val="hybridMultilevel"/>
    <w:tmpl w:val="C7EC57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761623"/>
    <w:multiLevelType w:val="hybridMultilevel"/>
    <w:tmpl w:val="AEBAAC62"/>
    <w:lvl w:ilvl="0" w:tplc="F232F996">
      <w:start w:val="1"/>
      <w:numFmt w:val="lowerLetter"/>
      <w:lvlText w:val="%1."/>
      <w:lvlJc w:val="left"/>
      <w:pPr>
        <w:ind w:left="1166"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0" w15:restartNumberingAfterBreak="0">
    <w:nsid w:val="2E41285D"/>
    <w:multiLevelType w:val="hybridMultilevel"/>
    <w:tmpl w:val="5CA0E6A4"/>
    <w:lvl w:ilvl="0" w:tplc="7AE2D5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DF4CB8"/>
    <w:multiLevelType w:val="hybridMultilevel"/>
    <w:tmpl w:val="D8AC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BE7EBF"/>
    <w:multiLevelType w:val="hybridMultilevel"/>
    <w:tmpl w:val="99329926"/>
    <w:lvl w:ilvl="0" w:tplc="3FD88E22">
      <w:start w:val="1"/>
      <w:numFmt w:val="upperRoman"/>
      <w:lvlText w:val="%1."/>
      <w:lvlJc w:val="left"/>
      <w:pPr>
        <w:ind w:left="720" w:hanging="720"/>
      </w:pPr>
      <w:rPr>
        <w:rFonts w:hint="default"/>
        <w:b/>
        <w:bCs w:val="0"/>
      </w:rPr>
    </w:lvl>
    <w:lvl w:ilvl="1" w:tplc="2D741EF8">
      <w:start w:val="1"/>
      <w:numFmt w:val="lowerLetter"/>
      <w:lvlText w:val="%2."/>
      <w:lvlJc w:val="left"/>
      <w:pPr>
        <w:ind w:left="1170" w:hanging="360"/>
      </w:pPr>
      <w:rPr>
        <w:rFonts w:hint="default"/>
      </w:rPr>
    </w:lvl>
    <w:lvl w:ilvl="2" w:tplc="0409000F">
      <w:start w:val="1"/>
      <w:numFmt w:val="decimal"/>
      <w:lvlText w:val="%3."/>
      <w:lvlJc w:val="left"/>
      <w:pPr>
        <w:ind w:left="1980" w:hanging="360"/>
      </w:pPr>
    </w:lvl>
    <w:lvl w:ilvl="3" w:tplc="DF16C988">
      <w:start w:val="5"/>
      <w:numFmt w:val="bullet"/>
      <w:lvlText w:val="•"/>
      <w:lvlJc w:val="left"/>
      <w:pPr>
        <w:ind w:left="2520" w:hanging="360"/>
      </w:pPr>
      <w:rPr>
        <w:rFonts w:ascii="Times New Roman" w:eastAsiaTheme="minorHAnsi" w:hAnsi="Times New Roman" w:cs="Times New Roman"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723FE"/>
    <w:multiLevelType w:val="hybridMultilevel"/>
    <w:tmpl w:val="072A2994"/>
    <w:lvl w:ilvl="0" w:tplc="6A8A8F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11DEA"/>
    <w:multiLevelType w:val="hybridMultilevel"/>
    <w:tmpl w:val="EC7872D6"/>
    <w:lvl w:ilvl="0" w:tplc="BA668B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F8069F"/>
    <w:multiLevelType w:val="hybridMultilevel"/>
    <w:tmpl w:val="22F448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5D564592">
      <w:start w:val="1"/>
      <w:numFmt w:val="lowerLetter"/>
      <w:lvlText w:val="%4."/>
      <w:lvlJc w:val="left"/>
      <w:pPr>
        <w:ind w:left="1080" w:hanging="360"/>
      </w:pPr>
      <w:rPr>
        <w:b w:val="0"/>
        <w:bCs/>
      </w:rPr>
    </w:lvl>
    <w:lvl w:ilvl="4" w:tplc="0409001B">
      <w:start w:val="1"/>
      <w:numFmt w:val="lowerRoman"/>
      <w:lvlText w:val="%5."/>
      <w:lvlJc w:val="right"/>
      <w:pPr>
        <w:ind w:left="189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274539"/>
    <w:multiLevelType w:val="hybridMultilevel"/>
    <w:tmpl w:val="77F47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42BC1"/>
    <w:multiLevelType w:val="hybridMultilevel"/>
    <w:tmpl w:val="C9A418C4"/>
    <w:lvl w:ilvl="0" w:tplc="E8CC76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6744B"/>
    <w:multiLevelType w:val="hybridMultilevel"/>
    <w:tmpl w:val="5114F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10AD8"/>
    <w:multiLevelType w:val="hybridMultilevel"/>
    <w:tmpl w:val="89CE1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DD6CAF"/>
    <w:multiLevelType w:val="hybridMultilevel"/>
    <w:tmpl w:val="A3708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EB370D"/>
    <w:multiLevelType w:val="hybridMultilevel"/>
    <w:tmpl w:val="F12604C6"/>
    <w:lvl w:ilvl="0" w:tplc="45924A6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261D64"/>
    <w:multiLevelType w:val="hybridMultilevel"/>
    <w:tmpl w:val="6200F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F937CDB"/>
    <w:multiLevelType w:val="hybridMultilevel"/>
    <w:tmpl w:val="BE70519C"/>
    <w:lvl w:ilvl="0" w:tplc="416C45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5523D1"/>
    <w:multiLevelType w:val="multilevel"/>
    <w:tmpl w:val="8E8AD66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25" w15:restartNumberingAfterBreak="0">
    <w:nsid w:val="59E443DA"/>
    <w:multiLevelType w:val="hybridMultilevel"/>
    <w:tmpl w:val="B372ACC4"/>
    <w:lvl w:ilvl="0" w:tplc="4C327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CE27FF"/>
    <w:multiLevelType w:val="hybridMultilevel"/>
    <w:tmpl w:val="2034F6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0151B0F"/>
    <w:multiLevelType w:val="hybridMultilevel"/>
    <w:tmpl w:val="66AE7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922363"/>
    <w:multiLevelType w:val="hybridMultilevel"/>
    <w:tmpl w:val="53AECF60"/>
    <w:lvl w:ilvl="0" w:tplc="6EB0E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BF4676"/>
    <w:multiLevelType w:val="hybridMultilevel"/>
    <w:tmpl w:val="68086A38"/>
    <w:lvl w:ilvl="0" w:tplc="46882AA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EC0803"/>
    <w:multiLevelType w:val="hybridMultilevel"/>
    <w:tmpl w:val="6AD86540"/>
    <w:lvl w:ilvl="0" w:tplc="A89CD842">
      <w:start w:val="1"/>
      <w:numFmt w:val="decimal"/>
      <w:lvlText w:val="%1."/>
      <w:lvlJc w:val="left"/>
      <w:pPr>
        <w:ind w:left="1440" w:hanging="360"/>
      </w:pPr>
      <w:rPr>
        <w:rFonts w:ascii="Arial" w:hAnsi="Arial" w:cs="Arial" w:hint="default"/>
        <w:b w:val="0"/>
      </w:rPr>
    </w:lvl>
    <w:lvl w:ilvl="1" w:tplc="B7D874E2">
      <w:start w:val="1"/>
      <w:numFmt w:val="lowerLetter"/>
      <w:lvlText w:val="%2."/>
      <w:lvlJc w:val="left"/>
      <w:pPr>
        <w:ind w:left="2160" w:hanging="360"/>
      </w:pPr>
      <w:rPr>
        <w:rFonts w:ascii="Arial" w:hAnsi="Arial" w:cs="Arial" w:hint="default"/>
        <w:b w:val="0"/>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F703D97"/>
    <w:multiLevelType w:val="hybridMultilevel"/>
    <w:tmpl w:val="C172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5053797">
    <w:abstractNumId w:val="12"/>
  </w:num>
  <w:num w:numId="2" w16cid:durableId="1359429855">
    <w:abstractNumId w:val="17"/>
  </w:num>
  <w:num w:numId="3" w16cid:durableId="1967422235">
    <w:abstractNumId w:val="18"/>
  </w:num>
  <w:num w:numId="4" w16cid:durableId="1347437066">
    <w:abstractNumId w:val="2"/>
  </w:num>
  <w:num w:numId="5" w16cid:durableId="538399740">
    <w:abstractNumId w:val="19"/>
  </w:num>
  <w:num w:numId="6" w16cid:durableId="177159926">
    <w:abstractNumId w:val="20"/>
  </w:num>
  <w:num w:numId="7" w16cid:durableId="1193228353">
    <w:abstractNumId w:val="27"/>
  </w:num>
  <w:num w:numId="8" w16cid:durableId="1924411563">
    <w:abstractNumId w:val="11"/>
  </w:num>
  <w:num w:numId="9" w16cid:durableId="827483666">
    <w:abstractNumId w:val="16"/>
  </w:num>
  <w:num w:numId="10" w16cid:durableId="1765878468">
    <w:abstractNumId w:val="13"/>
  </w:num>
  <w:num w:numId="11" w16cid:durableId="1699045321">
    <w:abstractNumId w:val="3"/>
  </w:num>
  <w:num w:numId="12" w16cid:durableId="1253972266">
    <w:abstractNumId w:val="4"/>
  </w:num>
  <w:num w:numId="13" w16cid:durableId="1991396849">
    <w:abstractNumId w:val="5"/>
  </w:num>
  <w:num w:numId="14" w16cid:durableId="86392814">
    <w:abstractNumId w:val="8"/>
  </w:num>
  <w:num w:numId="15" w16cid:durableId="1623144495">
    <w:abstractNumId w:val="23"/>
  </w:num>
  <w:num w:numId="16" w16cid:durableId="1057818123">
    <w:abstractNumId w:val="30"/>
  </w:num>
  <w:num w:numId="17" w16cid:durableId="1293749112">
    <w:abstractNumId w:val="29"/>
  </w:num>
  <w:num w:numId="18" w16cid:durableId="1776821939">
    <w:abstractNumId w:val="28"/>
  </w:num>
  <w:num w:numId="19" w16cid:durableId="963391896">
    <w:abstractNumId w:val="10"/>
  </w:num>
  <w:num w:numId="20" w16cid:durableId="865217836">
    <w:abstractNumId w:val="25"/>
  </w:num>
  <w:num w:numId="21" w16cid:durableId="357702443">
    <w:abstractNumId w:val="21"/>
  </w:num>
  <w:num w:numId="22" w16cid:durableId="1024598839">
    <w:abstractNumId w:val="14"/>
  </w:num>
  <w:num w:numId="23" w16cid:durableId="976956772">
    <w:abstractNumId w:val="1"/>
  </w:num>
  <w:num w:numId="24" w16cid:durableId="1502240231">
    <w:abstractNumId w:val="15"/>
  </w:num>
  <w:num w:numId="25" w16cid:durableId="653030104">
    <w:abstractNumId w:val="0"/>
  </w:num>
  <w:num w:numId="26" w16cid:durableId="1480996719">
    <w:abstractNumId w:val="26"/>
  </w:num>
  <w:num w:numId="27" w16cid:durableId="1314799764">
    <w:abstractNumId w:val="7"/>
  </w:num>
  <w:num w:numId="28" w16cid:durableId="2124567878">
    <w:abstractNumId w:val="9"/>
  </w:num>
  <w:num w:numId="29" w16cid:durableId="1481384202">
    <w:abstractNumId w:val="31"/>
  </w:num>
  <w:num w:numId="30" w16cid:durableId="972058608">
    <w:abstractNumId w:val="24"/>
  </w:num>
  <w:num w:numId="31" w16cid:durableId="615257770">
    <w:abstractNumId w:val="6"/>
  </w:num>
  <w:num w:numId="32" w16cid:durableId="5796796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35A"/>
    <w:rsid w:val="0004212C"/>
    <w:rsid w:val="00051A3A"/>
    <w:rsid w:val="00076EC5"/>
    <w:rsid w:val="000A0137"/>
    <w:rsid w:val="000D021A"/>
    <w:rsid w:val="00103494"/>
    <w:rsid w:val="00135BCA"/>
    <w:rsid w:val="001562D2"/>
    <w:rsid w:val="0019634F"/>
    <w:rsid w:val="001967C9"/>
    <w:rsid w:val="001977B3"/>
    <w:rsid w:val="001D4E85"/>
    <w:rsid w:val="001D63CD"/>
    <w:rsid w:val="001E385F"/>
    <w:rsid w:val="00224275"/>
    <w:rsid w:val="002421B4"/>
    <w:rsid w:val="00270D96"/>
    <w:rsid w:val="00294525"/>
    <w:rsid w:val="002A37F8"/>
    <w:rsid w:val="002A52FA"/>
    <w:rsid w:val="00303789"/>
    <w:rsid w:val="0030444F"/>
    <w:rsid w:val="003467DC"/>
    <w:rsid w:val="00375716"/>
    <w:rsid w:val="003F741A"/>
    <w:rsid w:val="00412100"/>
    <w:rsid w:val="004746AE"/>
    <w:rsid w:val="00497258"/>
    <w:rsid w:val="004C0C4D"/>
    <w:rsid w:val="004D3AA9"/>
    <w:rsid w:val="0057722C"/>
    <w:rsid w:val="00585699"/>
    <w:rsid w:val="005C1F66"/>
    <w:rsid w:val="005D77AF"/>
    <w:rsid w:val="005E2DAD"/>
    <w:rsid w:val="005F6DAA"/>
    <w:rsid w:val="00604B5F"/>
    <w:rsid w:val="00636D82"/>
    <w:rsid w:val="00644CEB"/>
    <w:rsid w:val="006536DB"/>
    <w:rsid w:val="00663A85"/>
    <w:rsid w:val="0067035A"/>
    <w:rsid w:val="006E0999"/>
    <w:rsid w:val="0072077B"/>
    <w:rsid w:val="00777EC4"/>
    <w:rsid w:val="007B4B31"/>
    <w:rsid w:val="008305AE"/>
    <w:rsid w:val="00836B51"/>
    <w:rsid w:val="00847105"/>
    <w:rsid w:val="00860927"/>
    <w:rsid w:val="00884CC1"/>
    <w:rsid w:val="008B0CB0"/>
    <w:rsid w:val="008C6C5E"/>
    <w:rsid w:val="008D2B01"/>
    <w:rsid w:val="008F42E5"/>
    <w:rsid w:val="008F706A"/>
    <w:rsid w:val="009064FE"/>
    <w:rsid w:val="00912765"/>
    <w:rsid w:val="009305B2"/>
    <w:rsid w:val="009C0B74"/>
    <w:rsid w:val="00A162EE"/>
    <w:rsid w:val="00A21B01"/>
    <w:rsid w:val="00A61496"/>
    <w:rsid w:val="00A6640B"/>
    <w:rsid w:val="00A901EE"/>
    <w:rsid w:val="00A93038"/>
    <w:rsid w:val="00A94F76"/>
    <w:rsid w:val="00AC2A58"/>
    <w:rsid w:val="00AC6DD1"/>
    <w:rsid w:val="00AD14C2"/>
    <w:rsid w:val="00AE41E4"/>
    <w:rsid w:val="00B44AEC"/>
    <w:rsid w:val="00B50ECF"/>
    <w:rsid w:val="00B7650D"/>
    <w:rsid w:val="00B77874"/>
    <w:rsid w:val="00BA0B71"/>
    <w:rsid w:val="00BB7B70"/>
    <w:rsid w:val="00BC2FB4"/>
    <w:rsid w:val="00BD6ABC"/>
    <w:rsid w:val="00BD74EB"/>
    <w:rsid w:val="00BE3768"/>
    <w:rsid w:val="00BF685A"/>
    <w:rsid w:val="00C01628"/>
    <w:rsid w:val="00C12048"/>
    <w:rsid w:val="00C24C59"/>
    <w:rsid w:val="00C4494C"/>
    <w:rsid w:val="00CB207D"/>
    <w:rsid w:val="00CE6B6A"/>
    <w:rsid w:val="00D36AA1"/>
    <w:rsid w:val="00D6443F"/>
    <w:rsid w:val="00DC0A40"/>
    <w:rsid w:val="00E23F23"/>
    <w:rsid w:val="00E342CC"/>
    <w:rsid w:val="00E5377F"/>
    <w:rsid w:val="00E76636"/>
    <w:rsid w:val="00E96F0F"/>
    <w:rsid w:val="00EA57D5"/>
    <w:rsid w:val="00EB4D45"/>
    <w:rsid w:val="00ED4794"/>
    <w:rsid w:val="00ED4ADD"/>
    <w:rsid w:val="00F12194"/>
    <w:rsid w:val="00F1532D"/>
    <w:rsid w:val="00F40328"/>
    <w:rsid w:val="00FA44AC"/>
    <w:rsid w:val="00FF4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7DEF8"/>
  <w15:docId w15:val="{549FC4F3-AEAA-44D4-9EAA-3DCEE6D5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35A"/>
    <w:pPr>
      <w:ind w:left="720"/>
      <w:contextualSpacing/>
    </w:pPr>
  </w:style>
  <w:style w:type="paragraph" w:styleId="NoSpacing">
    <w:name w:val="No Spacing"/>
    <w:uiPriority w:val="1"/>
    <w:qFormat/>
    <w:rsid w:val="0067035A"/>
    <w:pPr>
      <w:spacing w:after="0" w:line="240" w:lineRule="auto"/>
    </w:pPr>
  </w:style>
  <w:style w:type="paragraph" w:styleId="Header">
    <w:name w:val="header"/>
    <w:basedOn w:val="Normal"/>
    <w:link w:val="HeaderChar"/>
    <w:uiPriority w:val="99"/>
    <w:unhideWhenUsed/>
    <w:rsid w:val="00A614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96"/>
  </w:style>
  <w:style w:type="paragraph" w:styleId="Footer">
    <w:name w:val="footer"/>
    <w:basedOn w:val="Normal"/>
    <w:link w:val="FooterChar"/>
    <w:uiPriority w:val="99"/>
    <w:unhideWhenUsed/>
    <w:rsid w:val="00A61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96"/>
  </w:style>
  <w:style w:type="table" w:styleId="TableGrid">
    <w:name w:val="Table Grid"/>
    <w:basedOn w:val="TableNormal"/>
    <w:uiPriority w:val="59"/>
    <w:rsid w:val="00103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4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B31"/>
    <w:rPr>
      <w:rFonts w:ascii="Segoe UI" w:hAnsi="Segoe UI" w:cs="Segoe UI"/>
      <w:sz w:val="18"/>
      <w:szCs w:val="18"/>
    </w:rPr>
  </w:style>
  <w:style w:type="character" w:styleId="Hyperlink">
    <w:name w:val="Hyperlink"/>
    <w:basedOn w:val="DefaultParagraphFont"/>
    <w:uiPriority w:val="99"/>
    <w:unhideWhenUsed/>
    <w:rsid w:val="00644CEB"/>
    <w:rPr>
      <w:color w:val="0000FF" w:themeColor="hyperlink"/>
      <w:u w:val="single"/>
    </w:rPr>
  </w:style>
  <w:style w:type="character" w:styleId="UnresolvedMention">
    <w:name w:val="Unresolved Mention"/>
    <w:basedOn w:val="DefaultParagraphFont"/>
    <w:uiPriority w:val="99"/>
    <w:semiHidden/>
    <w:unhideWhenUsed/>
    <w:rsid w:val="00644CEB"/>
    <w:rPr>
      <w:color w:val="605E5C"/>
      <w:shd w:val="clear" w:color="auto" w:fill="E1DFDD"/>
    </w:rPr>
  </w:style>
  <w:style w:type="character" w:styleId="FollowedHyperlink">
    <w:name w:val="FollowedHyperlink"/>
    <w:basedOn w:val="DefaultParagraphFont"/>
    <w:uiPriority w:val="99"/>
    <w:semiHidden/>
    <w:unhideWhenUsed/>
    <w:rsid w:val="00CE6B6A"/>
    <w:rPr>
      <w:color w:val="800080" w:themeColor="followedHyperlink"/>
      <w:u w:val="single"/>
    </w:rPr>
  </w:style>
  <w:style w:type="paragraph" w:styleId="Revision">
    <w:name w:val="Revision"/>
    <w:hidden/>
    <w:uiPriority w:val="99"/>
    <w:semiHidden/>
    <w:rsid w:val="00884CC1"/>
    <w:pPr>
      <w:spacing w:after="0" w:line="240" w:lineRule="auto"/>
    </w:pPr>
  </w:style>
  <w:style w:type="character" w:styleId="CommentReference">
    <w:name w:val="annotation reference"/>
    <w:basedOn w:val="DefaultParagraphFont"/>
    <w:uiPriority w:val="99"/>
    <w:semiHidden/>
    <w:unhideWhenUsed/>
    <w:rsid w:val="001D4E85"/>
    <w:rPr>
      <w:sz w:val="16"/>
      <w:szCs w:val="16"/>
    </w:rPr>
  </w:style>
  <w:style w:type="paragraph" w:styleId="CommentText">
    <w:name w:val="annotation text"/>
    <w:basedOn w:val="Normal"/>
    <w:link w:val="CommentTextChar"/>
    <w:uiPriority w:val="99"/>
    <w:unhideWhenUsed/>
    <w:rsid w:val="001D4E85"/>
    <w:pPr>
      <w:spacing w:line="240" w:lineRule="auto"/>
    </w:pPr>
    <w:rPr>
      <w:sz w:val="20"/>
      <w:szCs w:val="20"/>
    </w:rPr>
  </w:style>
  <w:style w:type="character" w:customStyle="1" w:styleId="CommentTextChar">
    <w:name w:val="Comment Text Char"/>
    <w:basedOn w:val="DefaultParagraphFont"/>
    <w:link w:val="CommentText"/>
    <w:uiPriority w:val="99"/>
    <w:rsid w:val="001D4E85"/>
    <w:rPr>
      <w:sz w:val="20"/>
      <w:szCs w:val="20"/>
    </w:rPr>
  </w:style>
  <w:style w:type="paragraph" w:styleId="CommentSubject">
    <w:name w:val="annotation subject"/>
    <w:basedOn w:val="CommentText"/>
    <w:next w:val="CommentText"/>
    <w:link w:val="CommentSubjectChar"/>
    <w:uiPriority w:val="99"/>
    <w:semiHidden/>
    <w:unhideWhenUsed/>
    <w:rsid w:val="001D4E85"/>
    <w:rPr>
      <w:b/>
      <w:bCs/>
    </w:rPr>
  </w:style>
  <w:style w:type="character" w:customStyle="1" w:styleId="CommentSubjectChar">
    <w:name w:val="Comment Subject Char"/>
    <w:basedOn w:val="CommentTextChar"/>
    <w:link w:val="CommentSubject"/>
    <w:uiPriority w:val="99"/>
    <w:semiHidden/>
    <w:rsid w:val="001D4E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Olds, Anna Marie  x4448</dc:creator>
  <cp:lastModifiedBy>Iwamoto, Joann</cp:lastModifiedBy>
  <cp:revision>2</cp:revision>
  <cp:lastPrinted>2016-08-10T17:52:00Z</cp:lastPrinted>
  <dcterms:created xsi:type="dcterms:W3CDTF">2023-03-22T00:05:00Z</dcterms:created>
  <dcterms:modified xsi:type="dcterms:W3CDTF">2023-03-22T00:05:00Z</dcterms:modified>
</cp:coreProperties>
</file>